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58" w:rsidRDefault="00380758" w:rsidP="00380758">
      <w:pPr>
        <w:suppressAutoHyphens/>
        <w:jc w:val="center"/>
        <w:rPr>
          <w:rFonts w:ascii="Arial" w:hAnsi="Arial" w:cs="Arial"/>
          <w:b/>
          <w:spacing w:val="-3"/>
          <w:sz w:val="32"/>
          <w:szCs w:val="32"/>
        </w:rPr>
      </w:pPr>
      <w:r>
        <w:rPr>
          <w:rFonts w:ascii="Arial" w:hAnsi="Arial" w:cs="Arial"/>
          <w:b/>
          <w:spacing w:val="-3"/>
          <w:sz w:val="32"/>
          <w:szCs w:val="32"/>
        </w:rPr>
        <w:t>Unit 9 Outline</w:t>
      </w:r>
    </w:p>
    <w:p w:rsidR="00380758" w:rsidRDefault="00380758" w:rsidP="00380758">
      <w:pPr>
        <w:suppressAutoHyphens/>
        <w:rPr>
          <w:b/>
          <w:spacing w:val="-3"/>
        </w:rPr>
      </w:pPr>
    </w:p>
    <w:p w:rsidR="00380758" w:rsidRDefault="00380758" w:rsidP="00380758">
      <w:pPr>
        <w:suppressAutoHyphens/>
        <w:rPr>
          <w:b/>
          <w:spacing w:val="-3"/>
        </w:rPr>
      </w:pPr>
    </w:p>
    <w:p w:rsidR="00380758" w:rsidRDefault="00380758" w:rsidP="00380758">
      <w:pPr>
        <w:suppressAutoHyphens/>
        <w:rPr>
          <w:spacing w:val="-3"/>
        </w:rPr>
      </w:pPr>
      <w:r>
        <w:rPr>
          <w:b/>
          <w:spacing w:val="-3"/>
        </w:rPr>
        <w:t>Learning Objectives</w:t>
      </w:r>
    </w:p>
    <w:p w:rsidR="00380758" w:rsidRDefault="00380758" w:rsidP="00380758">
      <w:pPr>
        <w:suppressAutoHyphens/>
        <w:rPr>
          <w:spacing w:val="-3"/>
        </w:rPr>
      </w:pPr>
    </w:p>
    <w:p w:rsidR="00380758" w:rsidRDefault="00380758" w:rsidP="00380758">
      <w:pPr>
        <w:suppressAutoHyphens/>
        <w:rPr>
          <w:spacing w:val="-3"/>
        </w:rPr>
      </w:pPr>
      <w:r>
        <w:rPr>
          <w:spacing w:val="-3"/>
        </w:rPr>
        <w:t>Study of this unit should enable the student to</w:t>
      </w:r>
    </w:p>
    <w:p w:rsidR="00380758" w:rsidRDefault="00380758" w:rsidP="00380758">
      <w:pPr>
        <w:pStyle w:val="T1st"/>
        <w:numPr>
          <w:ilvl w:val="0"/>
          <w:numId w:val="49"/>
        </w:num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distinguish vacant land from a building site;</w:t>
      </w:r>
    </w:p>
    <w:p w:rsidR="00380758" w:rsidRDefault="00380758" w:rsidP="00380758">
      <w:pPr>
        <w:pStyle w:val="T1st"/>
        <w:numPr>
          <w:ilvl w:val="0"/>
          <w:numId w:val="49"/>
        </w:num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list reasons why a separate site valuation may be necessary;</w:t>
      </w:r>
    </w:p>
    <w:p w:rsidR="00380758" w:rsidRDefault="00380758" w:rsidP="00380758">
      <w:pPr>
        <w:pStyle w:val="T1st"/>
        <w:numPr>
          <w:ilvl w:val="0"/>
          <w:numId w:val="49"/>
        </w:num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explain the concept of highest and best use;</w:t>
      </w:r>
    </w:p>
    <w:p w:rsidR="00380758" w:rsidRDefault="00380758" w:rsidP="00380758">
      <w:pPr>
        <w:pStyle w:val="T1st"/>
        <w:numPr>
          <w:ilvl w:val="0"/>
          <w:numId w:val="49"/>
        </w:num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explain the importance of zoning in land valuation;</w:t>
      </w:r>
    </w:p>
    <w:p w:rsidR="00380758" w:rsidRDefault="00380758" w:rsidP="00380758">
      <w:pPr>
        <w:pStyle w:val="T1st"/>
        <w:numPr>
          <w:ilvl w:val="0"/>
          <w:numId w:val="49"/>
        </w:num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describe some of the environmental concerns that can affect land value; and</w:t>
      </w:r>
    </w:p>
    <w:p w:rsidR="00380758" w:rsidRDefault="00380758" w:rsidP="00380758">
      <w:pPr>
        <w:pStyle w:val="T1st"/>
        <w:numPr>
          <w:ilvl w:val="0"/>
          <w:numId w:val="49"/>
        </w:numPr>
        <w:suppressAutoHyphens/>
        <w:spacing w:line="240" w:lineRule="auto"/>
        <w:jc w:val="left"/>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and demonstrate methods of site valuation.</w:t>
      </w:r>
    </w:p>
    <w:p w:rsidR="00380758" w:rsidRDefault="00380758" w:rsidP="00380758">
      <w:pPr>
        <w:suppressAutoHyphens/>
        <w:rPr>
          <w:spacing w:val="-3"/>
        </w:rPr>
      </w:pPr>
    </w:p>
    <w:p w:rsidR="00380758" w:rsidRDefault="00380758" w:rsidP="00380758">
      <w:pPr>
        <w:suppressAutoHyphens/>
        <w:rPr>
          <w:b/>
          <w:spacing w:val="-3"/>
        </w:rPr>
      </w:pPr>
    </w:p>
    <w:p w:rsidR="00380758" w:rsidRDefault="00380758" w:rsidP="00380758">
      <w:pPr>
        <w:suppressAutoHyphens/>
        <w:rPr>
          <w:spacing w:val="-3"/>
        </w:rPr>
      </w:pPr>
      <w:r>
        <w:rPr>
          <w:b/>
          <w:spacing w:val="-3"/>
        </w:rPr>
        <w:t xml:space="preserve"> Unit Outline</w:t>
      </w:r>
    </w:p>
    <w:p w:rsidR="00380758" w:rsidRDefault="00380758" w:rsidP="00380758">
      <w:pPr>
        <w:suppressAutoHyphens/>
        <w:rPr>
          <w:spacing w:val="-3"/>
        </w:rPr>
      </w:pPr>
    </w:p>
    <w:p w:rsidR="00380758" w:rsidRDefault="00380758" w:rsidP="00380758">
      <w:pPr>
        <w:suppressAutoHyphens/>
        <w:rPr>
          <w:spacing w:val="-3"/>
        </w:rPr>
      </w:pPr>
      <w:r>
        <w:rPr>
          <w:spacing w:val="-3"/>
        </w:rPr>
        <w:t>I.</w:t>
      </w:r>
      <w:r>
        <w:rPr>
          <w:spacing w:val="-3"/>
        </w:rPr>
        <w:tab/>
        <w:t>Overview</w:t>
      </w:r>
    </w:p>
    <w:p w:rsidR="00380758" w:rsidRDefault="00380758" w:rsidP="00380758">
      <w:pPr>
        <w:suppressAutoHyphens/>
        <w:rPr>
          <w:spacing w:val="-3"/>
        </w:rPr>
      </w:pPr>
    </w:p>
    <w:p w:rsidR="00380758" w:rsidRDefault="00380758" w:rsidP="00380758">
      <w:pPr>
        <w:suppressAutoHyphens/>
        <w:rPr>
          <w:spacing w:val="-3"/>
        </w:rPr>
      </w:pPr>
      <w:r>
        <w:rPr>
          <w:spacing w:val="-3"/>
        </w:rPr>
        <w:t>II.</w:t>
      </w:r>
      <w:r>
        <w:rPr>
          <w:spacing w:val="-3"/>
        </w:rPr>
        <w:tab/>
        <w:t>Separate Site Valuations—when required</w:t>
      </w:r>
    </w:p>
    <w:p w:rsidR="00380758" w:rsidRDefault="00380758" w:rsidP="00380758">
      <w:pPr>
        <w:pStyle w:val="BodyTextIndent"/>
        <w:tabs>
          <w:tab w:val="clear" w:pos="-720"/>
          <w:tab w:val="clear" w:pos="0"/>
          <w:tab w:val="left" w:pos="720"/>
        </w:tabs>
        <w:ind w:left="1440"/>
        <w:rPr>
          <w:szCs w:val="24"/>
        </w:rPr>
      </w:pPr>
      <w:r>
        <w:rPr>
          <w:szCs w:val="24"/>
        </w:rPr>
        <w:t>A.</w:t>
      </w:r>
      <w:r>
        <w:rPr>
          <w:szCs w:val="24"/>
        </w:rPr>
        <w:tab/>
        <w:t>Cost Approach—cost of improvements new less depreciation o</w:t>
      </w:r>
      <w:r w:rsidR="005A06F4">
        <w:rPr>
          <w:szCs w:val="24"/>
        </w:rPr>
        <w:t xml:space="preserve">n improvements plus site value </w:t>
      </w:r>
      <w:r>
        <w:rPr>
          <w:szCs w:val="24"/>
        </w:rPr>
        <w:t>equals property value</w:t>
      </w:r>
    </w:p>
    <w:p w:rsidR="00380758" w:rsidRDefault="00380758" w:rsidP="00380758">
      <w:pPr>
        <w:suppressAutoHyphens/>
        <w:ind w:firstLine="720"/>
        <w:rPr>
          <w:spacing w:val="-3"/>
        </w:rPr>
      </w:pPr>
      <w:r>
        <w:rPr>
          <w:spacing w:val="-3"/>
        </w:rPr>
        <w:t>B.</w:t>
      </w:r>
      <w:r>
        <w:rPr>
          <w:spacing w:val="-3"/>
        </w:rPr>
        <w:tab/>
        <w:t>Assessments and Taxation</w:t>
      </w:r>
    </w:p>
    <w:p w:rsidR="00380758" w:rsidRDefault="00380758" w:rsidP="00380758">
      <w:pPr>
        <w:suppressAutoHyphens/>
        <w:ind w:firstLine="720"/>
        <w:rPr>
          <w:spacing w:val="-3"/>
        </w:rPr>
      </w:pPr>
      <w:r>
        <w:rPr>
          <w:spacing w:val="-3"/>
        </w:rPr>
        <w:t>C.</w:t>
      </w:r>
      <w:r>
        <w:rPr>
          <w:spacing w:val="-3"/>
        </w:rPr>
        <w:tab/>
        <w:t>Condemnation Appraisals</w:t>
      </w:r>
    </w:p>
    <w:p w:rsidR="00380758" w:rsidRDefault="00380758" w:rsidP="00380758">
      <w:pPr>
        <w:pStyle w:val="BodyTextIndent"/>
        <w:tabs>
          <w:tab w:val="clear" w:pos="-720"/>
          <w:tab w:val="clear" w:pos="0"/>
          <w:tab w:val="left" w:pos="720"/>
        </w:tabs>
        <w:ind w:left="1440"/>
        <w:rPr>
          <w:szCs w:val="24"/>
        </w:rPr>
      </w:pPr>
      <w:r>
        <w:rPr>
          <w:szCs w:val="24"/>
        </w:rPr>
        <w:t>D.</w:t>
      </w:r>
      <w:r>
        <w:rPr>
          <w:szCs w:val="24"/>
        </w:rPr>
        <w:tab/>
        <w:t>Income Capitalization—building residual technique—method of capitalization using the net income remaining to the building after land value has been deducted</w:t>
      </w:r>
    </w:p>
    <w:p w:rsidR="00380758" w:rsidRDefault="00380758" w:rsidP="00380758">
      <w:pPr>
        <w:suppressAutoHyphens/>
        <w:ind w:firstLine="720"/>
        <w:rPr>
          <w:spacing w:val="-3"/>
        </w:rPr>
      </w:pPr>
      <w:r>
        <w:rPr>
          <w:spacing w:val="-3"/>
        </w:rPr>
        <w:t>E.</w:t>
      </w:r>
      <w:r>
        <w:rPr>
          <w:spacing w:val="-3"/>
        </w:rPr>
        <w:tab/>
        <w:t>Highest and Best Use</w:t>
      </w:r>
    </w:p>
    <w:p w:rsidR="00380758" w:rsidRDefault="00380758" w:rsidP="00380758">
      <w:pPr>
        <w:suppressAutoHyphens/>
        <w:ind w:left="720" w:firstLine="720"/>
        <w:rPr>
          <w:spacing w:val="-3"/>
        </w:rPr>
      </w:pPr>
      <w:r>
        <w:rPr>
          <w:spacing w:val="-3"/>
        </w:rPr>
        <w:t>1.</w:t>
      </w:r>
      <w:r>
        <w:rPr>
          <w:spacing w:val="-3"/>
        </w:rPr>
        <w:tab/>
        <w:t>Four tests</w:t>
      </w:r>
    </w:p>
    <w:p w:rsidR="00380758" w:rsidRDefault="00380758" w:rsidP="00380758">
      <w:pPr>
        <w:pStyle w:val="BodyTextIndent2"/>
        <w:ind w:left="2880"/>
        <w:rPr>
          <w:szCs w:val="24"/>
        </w:rPr>
      </w:pPr>
      <w:r>
        <w:rPr>
          <w:szCs w:val="24"/>
        </w:rPr>
        <w:t>a.</w:t>
      </w:r>
      <w:r>
        <w:rPr>
          <w:szCs w:val="24"/>
        </w:rPr>
        <w:tab/>
        <w:t>Physically possible—site's use may be limited by its size, shape, and topography</w:t>
      </w:r>
    </w:p>
    <w:p w:rsidR="00380758" w:rsidRDefault="00380758" w:rsidP="00380758">
      <w:pPr>
        <w:pStyle w:val="BodyTextIndent2"/>
        <w:ind w:left="2880"/>
        <w:rPr>
          <w:szCs w:val="24"/>
        </w:rPr>
      </w:pPr>
      <w:r>
        <w:rPr>
          <w:szCs w:val="24"/>
        </w:rPr>
        <w:t>b.</w:t>
      </w:r>
      <w:r>
        <w:rPr>
          <w:szCs w:val="24"/>
        </w:rPr>
        <w:tab/>
        <w:t>Legally permitted—zoning and other regulations, as well as private restrictions</w:t>
      </w:r>
    </w:p>
    <w:p w:rsidR="00380758" w:rsidRDefault="00380758" w:rsidP="00380758">
      <w:pPr>
        <w:pStyle w:val="BodyTextIndent2"/>
        <w:ind w:left="2880"/>
        <w:rPr>
          <w:szCs w:val="24"/>
        </w:rPr>
      </w:pPr>
      <w:r>
        <w:rPr>
          <w:szCs w:val="24"/>
        </w:rPr>
        <w:t>c.</w:t>
      </w:r>
      <w:r>
        <w:rPr>
          <w:szCs w:val="24"/>
        </w:rPr>
        <w:tab/>
        <w:t xml:space="preserve">Financially (or economically) feasible—financial return must justify the cost to develop </w:t>
      </w:r>
    </w:p>
    <w:p w:rsidR="00380758" w:rsidRDefault="00380758" w:rsidP="00380758">
      <w:pPr>
        <w:pStyle w:val="BodyTextIndent2"/>
        <w:ind w:left="2880"/>
        <w:rPr>
          <w:szCs w:val="24"/>
        </w:rPr>
      </w:pPr>
      <w:r>
        <w:rPr>
          <w:szCs w:val="24"/>
        </w:rPr>
        <w:t>d.</w:t>
      </w:r>
      <w:r>
        <w:rPr>
          <w:szCs w:val="24"/>
        </w:rPr>
        <w:tab/>
        <w:t xml:space="preserve">Maximally productive—physically possible, legally permitted and economically feasible use which will also produce the highest financial return and highest price for the property </w:t>
      </w:r>
    </w:p>
    <w:p w:rsidR="00380758" w:rsidRDefault="00380758" w:rsidP="00380758">
      <w:pPr>
        <w:pStyle w:val="BodyTextIndent3"/>
        <w:spacing w:after="0"/>
        <w:ind w:left="2160" w:hanging="720"/>
        <w:rPr>
          <w:sz w:val="24"/>
          <w:szCs w:val="24"/>
        </w:rPr>
      </w:pPr>
      <w:r>
        <w:rPr>
          <w:sz w:val="24"/>
          <w:szCs w:val="24"/>
        </w:rPr>
        <w:t>2.</w:t>
      </w:r>
      <w:r>
        <w:rPr>
          <w:sz w:val="24"/>
          <w:szCs w:val="24"/>
        </w:rPr>
        <w:tab/>
        <w:t xml:space="preserve">Vacant (or as if vacant)—traditional approach to determining highest and best use is to analyze vacant land, or if land is improved, to study it as if vacant </w:t>
      </w:r>
    </w:p>
    <w:p w:rsidR="00380758" w:rsidRDefault="00380758" w:rsidP="00380758">
      <w:pPr>
        <w:pStyle w:val="BodyTextIndent3"/>
        <w:spacing w:after="0"/>
        <w:ind w:left="2160" w:hanging="720"/>
        <w:rPr>
          <w:sz w:val="24"/>
          <w:szCs w:val="24"/>
        </w:rPr>
      </w:pPr>
      <w:r>
        <w:rPr>
          <w:sz w:val="24"/>
          <w:szCs w:val="24"/>
        </w:rPr>
        <w:t>3.</w:t>
      </w:r>
      <w:r>
        <w:rPr>
          <w:sz w:val="24"/>
          <w:szCs w:val="24"/>
        </w:rPr>
        <w:tab/>
      </w:r>
      <w:proofErr w:type="gramStart"/>
      <w:r>
        <w:rPr>
          <w:sz w:val="24"/>
          <w:szCs w:val="24"/>
        </w:rPr>
        <w:t>As</w:t>
      </w:r>
      <w:proofErr w:type="gramEnd"/>
      <w:r>
        <w:rPr>
          <w:sz w:val="24"/>
          <w:szCs w:val="24"/>
        </w:rPr>
        <w:t xml:space="preserve"> improved—use that should be made of an improved property in light of its improvements </w:t>
      </w:r>
    </w:p>
    <w:p w:rsidR="00380758" w:rsidRDefault="00380758" w:rsidP="00380758">
      <w:pPr>
        <w:pStyle w:val="BodyTextIndent3"/>
        <w:spacing w:after="0"/>
        <w:ind w:left="2160" w:hanging="720"/>
        <w:rPr>
          <w:sz w:val="24"/>
          <w:szCs w:val="24"/>
        </w:rPr>
      </w:pPr>
      <w:r>
        <w:rPr>
          <w:sz w:val="24"/>
          <w:szCs w:val="24"/>
        </w:rPr>
        <w:t>4.</w:t>
      </w:r>
      <w:r>
        <w:rPr>
          <w:sz w:val="24"/>
          <w:szCs w:val="24"/>
        </w:rPr>
        <w:tab/>
        <w:t>Interim use—appraisal of property at a time when it is not yet at its expected highest and best use</w:t>
      </w:r>
    </w:p>
    <w:p w:rsidR="00380758" w:rsidRDefault="00380758" w:rsidP="00380758">
      <w:pPr>
        <w:pStyle w:val="Heading2"/>
        <w:rPr>
          <w:szCs w:val="24"/>
        </w:rPr>
      </w:pPr>
    </w:p>
    <w:p w:rsidR="00380758" w:rsidRDefault="00380758" w:rsidP="00380758">
      <w:pPr>
        <w:pStyle w:val="Heading2"/>
        <w:rPr>
          <w:szCs w:val="24"/>
        </w:rPr>
      </w:pPr>
      <w:r>
        <w:rPr>
          <w:szCs w:val="24"/>
        </w:rPr>
        <w:t>Exercise 9-1</w:t>
      </w:r>
    </w:p>
    <w:p w:rsidR="00380758" w:rsidRDefault="00380758" w:rsidP="00380758">
      <w:pPr>
        <w:suppressAutoHyphens/>
        <w:rPr>
          <w:spacing w:val="-3"/>
        </w:rPr>
      </w:pPr>
    </w:p>
    <w:p w:rsidR="00380758" w:rsidRDefault="00380758" w:rsidP="00380758">
      <w:pPr>
        <w:suppressAutoHyphens/>
        <w:rPr>
          <w:spacing w:val="-3"/>
        </w:rPr>
      </w:pPr>
      <w:r>
        <w:rPr>
          <w:spacing w:val="-3"/>
        </w:rPr>
        <w:lastRenderedPageBreak/>
        <w:t>III.</w:t>
      </w:r>
      <w:r>
        <w:rPr>
          <w:spacing w:val="-3"/>
        </w:rPr>
        <w:tab/>
        <w:t>Site Data</w:t>
      </w:r>
    </w:p>
    <w:p w:rsidR="00380758" w:rsidRDefault="00380758" w:rsidP="00380758">
      <w:pPr>
        <w:suppressAutoHyphens/>
        <w:ind w:left="1440" w:hanging="720"/>
        <w:rPr>
          <w:spacing w:val="-3"/>
        </w:rPr>
      </w:pPr>
      <w:r>
        <w:rPr>
          <w:spacing w:val="-3"/>
        </w:rPr>
        <w:t>A.</w:t>
      </w:r>
      <w:r>
        <w:rPr>
          <w:spacing w:val="-3"/>
        </w:rPr>
        <w:tab/>
        <w:t>Identification—legally accurate description—plot plan showing site's property line dimensions and its location within a given block</w:t>
      </w:r>
    </w:p>
    <w:p w:rsidR="00380758" w:rsidRDefault="00380758" w:rsidP="00380758">
      <w:pPr>
        <w:suppressAutoHyphens/>
        <w:ind w:firstLine="720"/>
        <w:rPr>
          <w:spacing w:val="-3"/>
        </w:rPr>
      </w:pPr>
      <w:r>
        <w:rPr>
          <w:spacing w:val="-3"/>
        </w:rPr>
        <w:t>B.</w:t>
      </w:r>
      <w:r>
        <w:rPr>
          <w:spacing w:val="-3"/>
        </w:rPr>
        <w:tab/>
        <w:t>Analysis—should include</w:t>
      </w:r>
    </w:p>
    <w:p w:rsidR="00380758" w:rsidRDefault="00380758" w:rsidP="00380758">
      <w:pPr>
        <w:suppressAutoHyphens/>
        <w:ind w:left="720" w:firstLine="720"/>
        <w:rPr>
          <w:spacing w:val="-3"/>
        </w:rPr>
      </w:pPr>
      <w:r>
        <w:rPr>
          <w:spacing w:val="-3"/>
        </w:rPr>
        <w:t>1.</w:t>
      </w:r>
      <w:r>
        <w:rPr>
          <w:spacing w:val="-3"/>
        </w:rPr>
        <w:tab/>
        <w:t>Highest and best use study</w:t>
      </w:r>
    </w:p>
    <w:p w:rsidR="00380758" w:rsidRDefault="00380758" w:rsidP="00380758">
      <w:pPr>
        <w:pStyle w:val="BodyTextIndent3"/>
        <w:spacing w:after="0"/>
        <w:ind w:left="2160" w:hanging="720"/>
        <w:rPr>
          <w:sz w:val="24"/>
          <w:szCs w:val="24"/>
        </w:rPr>
      </w:pPr>
      <w:r>
        <w:rPr>
          <w:sz w:val="24"/>
          <w:szCs w:val="24"/>
        </w:rPr>
        <w:t>2.</w:t>
      </w:r>
      <w:r>
        <w:rPr>
          <w:sz w:val="24"/>
          <w:szCs w:val="24"/>
        </w:rPr>
        <w:tab/>
        <w:t>Important features of site—including size and shape, location in block, utilities, improvements, soil composition, whether it is located in flood or earthquake fault zone</w:t>
      </w:r>
    </w:p>
    <w:p w:rsidR="00380758" w:rsidRDefault="00380758" w:rsidP="00380758">
      <w:pPr>
        <w:pStyle w:val="BodyTextIndent3"/>
        <w:spacing w:after="0"/>
        <w:ind w:left="2160" w:hanging="720"/>
        <w:rPr>
          <w:sz w:val="24"/>
          <w:szCs w:val="24"/>
        </w:rPr>
      </w:pPr>
      <w:r>
        <w:rPr>
          <w:sz w:val="24"/>
          <w:szCs w:val="24"/>
        </w:rPr>
        <w:t>3.</w:t>
      </w:r>
      <w:r>
        <w:rPr>
          <w:sz w:val="24"/>
          <w:szCs w:val="24"/>
        </w:rPr>
        <w:tab/>
        <w:t>Determination of current zoning or imminent rezoning of surrounding properties in area</w:t>
      </w:r>
    </w:p>
    <w:p w:rsidR="00380758" w:rsidRDefault="00380758" w:rsidP="00380758">
      <w:pPr>
        <w:suppressAutoHyphens/>
        <w:ind w:left="720" w:firstLine="720"/>
        <w:rPr>
          <w:spacing w:val="-3"/>
        </w:rPr>
      </w:pPr>
      <w:r>
        <w:rPr>
          <w:spacing w:val="-3"/>
        </w:rPr>
        <w:t>4.</w:t>
      </w:r>
      <w:r>
        <w:rPr>
          <w:spacing w:val="-3"/>
        </w:rPr>
        <w:tab/>
        <w:t>Determination of any easements or deed restrictions</w:t>
      </w:r>
    </w:p>
    <w:p w:rsidR="00380758" w:rsidRDefault="00380758" w:rsidP="00380758">
      <w:pPr>
        <w:suppressAutoHyphens/>
        <w:rPr>
          <w:spacing w:val="-3"/>
        </w:rPr>
      </w:pPr>
    </w:p>
    <w:p w:rsidR="00380758" w:rsidRDefault="00380758" w:rsidP="00380758">
      <w:pPr>
        <w:suppressAutoHyphens/>
        <w:ind w:left="720" w:hanging="720"/>
        <w:rPr>
          <w:spacing w:val="-3"/>
        </w:rPr>
      </w:pPr>
      <w:r>
        <w:rPr>
          <w:spacing w:val="-3"/>
        </w:rPr>
        <w:t>IV.</w:t>
      </w:r>
      <w:r>
        <w:rPr>
          <w:spacing w:val="-3"/>
        </w:rPr>
        <w:tab/>
        <w:t>Environmental Concerns—appraiser needs to identify potential or actual environmental factors that are likely to impact property value—in some cases, an environmental site assessment (ESA) or environmental property assessment (EPRA) should be performed as part of the property inspection process</w:t>
      </w:r>
    </w:p>
    <w:p w:rsidR="00380758" w:rsidRDefault="00380758" w:rsidP="00380758">
      <w:pPr>
        <w:suppressAutoHyphens/>
        <w:ind w:firstLine="720"/>
        <w:rPr>
          <w:spacing w:val="-3"/>
        </w:rPr>
      </w:pPr>
      <w:r>
        <w:rPr>
          <w:spacing w:val="-3"/>
        </w:rPr>
        <w:t>A.</w:t>
      </w:r>
      <w:r>
        <w:rPr>
          <w:spacing w:val="-3"/>
        </w:rPr>
        <w:tab/>
        <w:t>Inspect subject property and note suspicious conditions</w:t>
      </w:r>
    </w:p>
    <w:p w:rsidR="00380758" w:rsidRDefault="00380758" w:rsidP="00380758">
      <w:pPr>
        <w:pStyle w:val="BodyTextIndent"/>
        <w:tabs>
          <w:tab w:val="clear" w:pos="-720"/>
          <w:tab w:val="clear" w:pos="0"/>
          <w:tab w:val="left" w:pos="720"/>
        </w:tabs>
        <w:ind w:left="1440"/>
        <w:rPr>
          <w:szCs w:val="24"/>
        </w:rPr>
      </w:pPr>
      <w:r>
        <w:rPr>
          <w:szCs w:val="24"/>
        </w:rPr>
        <w:t>B.</w:t>
      </w:r>
      <w:r>
        <w:rPr>
          <w:szCs w:val="24"/>
        </w:rPr>
        <w:tab/>
        <w:t>Brownfields—abandoned or underutilized property that may or may not be contaminated</w:t>
      </w:r>
    </w:p>
    <w:p w:rsidR="00380758" w:rsidRDefault="00380758" w:rsidP="00380758">
      <w:pPr>
        <w:suppressAutoHyphens/>
        <w:rPr>
          <w:spacing w:val="-3"/>
        </w:rPr>
      </w:pPr>
    </w:p>
    <w:p w:rsidR="00380758" w:rsidRDefault="00380758" w:rsidP="00380758">
      <w:pPr>
        <w:suppressAutoHyphens/>
        <w:rPr>
          <w:spacing w:val="-3"/>
        </w:rPr>
      </w:pPr>
      <w:r>
        <w:rPr>
          <w:spacing w:val="-3"/>
        </w:rPr>
        <w:t>V.</w:t>
      </w:r>
      <w:r>
        <w:rPr>
          <w:spacing w:val="-3"/>
        </w:rPr>
        <w:tab/>
        <w:t>Methods of Site Valuation</w:t>
      </w:r>
    </w:p>
    <w:p w:rsidR="00380758" w:rsidRDefault="00380758" w:rsidP="00380758">
      <w:pPr>
        <w:suppressAutoHyphens/>
        <w:ind w:firstLine="720"/>
        <w:rPr>
          <w:spacing w:val="-3"/>
        </w:rPr>
      </w:pPr>
      <w:r>
        <w:rPr>
          <w:spacing w:val="-3"/>
        </w:rPr>
        <w:t>A.</w:t>
      </w:r>
      <w:r>
        <w:rPr>
          <w:spacing w:val="-3"/>
        </w:rPr>
        <w:tab/>
        <w:t>Sales comparison method</w:t>
      </w:r>
    </w:p>
    <w:p w:rsidR="00380758" w:rsidRDefault="00380758" w:rsidP="00380758">
      <w:pPr>
        <w:suppressAutoHyphens/>
        <w:ind w:firstLine="720"/>
        <w:rPr>
          <w:spacing w:val="-3"/>
        </w:rPr>
      </w:pPr>
      <w:r>
        <w:rPr>
          <w:spacing w:val="-3"/>
        </w:rPr>
        <w:tab/>
        <w:t>1.</w:t>
      </w:r>
      <w:r>
        <w:rPr>
          <w:spacing w:val="-3"/>
        </w:rPr>
        <w:tab/>
        <w:t>Compares sales of comparable sites</w:t>
      </w:r>
    </w:p>
    <w:p w:rsidR="00380758" w:rsidRDefault="00380758" w:rsidP="00380758">
      <w:pPr>
        <w:suppressAutoHyphens/>
        <w:ind w:firstLine="720"/>
        <w:rPr>
          <w:spacing w:val="-3"/>
        </w:rPr>
      </w:pPr>
      <w:r>
        <w:rPr>
          <w:spacing w:val="-3"/>
        </w:rPr>
        <w:tab/>
        <w:t>2.</w:t>
      </w:r>
      <w:r>
        <w:rPr>
          <w:spacing w:val="-3"/>
        </w:rPr>
        <w:tab/>
        <w:t>Generally provides the most reliable indicator of market value</w:t>
      </w:r>
    </w:p>
    <w:p w:rsidR="00380758" w:rsidRDefault="00380758" w:rsidP="00380758">
      <w:pPr>
        <w:pStyle w:val="Heading2"/>
        <w:rPr>
          <w:szCs w:val="24"/>
        </w:rPr>
      </w:pPr>
    </w:p>
    <w:p w:rsidR="00380758" w:rsidRDefault="00380758" w:rsidP="00380758">
      <w:pPr>
        <w:pStyle w:val="Heading2"/>
        <w:rPr>
          <w:szCs w:val="24"/>
        </w:rPr>
      </w:pPr>
      <w:r>
        <w:rPr>
          <w:szCs w:val="24"/>
        </w:rPr>
        <w:t>Exercise 9-2</w:t>
      </w:r>
    </w:p>
    <w:p w:rsidR="00380758" w:rsidRDefault="00380758" w:rsidP="00380758">
      <w:pPr>
        <w:suppressAutoHyphens/>
        <w:rPr>
          <w:spacing w:val="-3"/>
        </w:rPr>
      </w:pPr>
    </w:p>
    <w:p w:rsidR="00380758" w:rsidRDefault="00380758" w:rsidP="00380758">
      <w:pPr>
        <w:suppressAutoHyphens/>
        <w:ind w:firstLine="720"/>
        <w:rPr>
          <w:spacing w:val="-3"/>
        </w:rPr>
      </w:pPr>
      <w:r>
        <w:rPr>
          <w:spacing w:val="-3"/>
        </w:rPr>
        <w:t>B.</w:t>
      </w:r>
      <w:r>
        <w:rPr>
          <w:spacing w:val="-3"/>
        </w:rPr>
        <w:tab/>
        <w:t>Allocation method</w:t>
      </w:r>
    </w:p>
    <w:p w:rsidR="00380758" w:rsidRDefault="00380758" w:rsidP="00380758">
      <w:pPr>
        <w:suppressAutoHyphens/>
        <w:ind w:left="2160" w:hanging="720"/>
        <w:rPr>
          <w:spacing w:val="-3"/>
        </w:rPr>
      </w:pPr>
      <w:r>
        <w:rPr>
          <w:spacing w:val="-3"/>
        </w:rPr>
        <w:t>1.</w:t>
      </w:r>
      <w:r>
        <w:rPr>
          <w:spacing w:val="-3"/>
        </w:rPr>
        <w:tab/>
      </w:r>
      <w:r w:rsidRPr="00F86E26">
        <w:rPr>
          <w:spacing w:val="-3"/>
        </w:rPr>
        <w:t>Utilizes site-to-building value ratios—for example, a neighborhood may tend to have a one-to-three land-to-building ratio—meaning</w:t>
      </w:r>
      <w:r>
        <w:rPr>
          <w:spacing w:val="-3"/>
        </w:rPr>
        <w:t xml:space="preserve"> that the building value is three times the land value  </w:t>
      </w:r>
    </w:p>
    <w:p w:rsidR="00380758" w:rsidRDefault="00380758" w:rsidP="00380758">
      <w:pPr>
        <w:pStyle w:val="BodyTextIndent3"/>
        <w:spacing w:after="0"/>
        <w:ind w:left="2160" w:hanging="720"/>
        <w:rPr>
          <w:sz w:val="24"/>
          <w:szCs w:val="24"/>
        </w:rPr>
      </w:pPr>
      <w:r>
        <w:rPr>
          <w:sz w:val="24"/>
          <w:szCs w:val="24"/>
        </w:rPr>
        <w:t>2.</w:t>
      </w:r>
      <w:r>
        <w:rPr>
          <w:sz w:val="24"/>
          <w:szCs w:val="24"/>
        </w:rPr>
        <w:tab/>
        <w:t>Formula—sales price minus all improvement co</w:t>
      </w:r>
      <w:r w:rsidR="005A06F4">
        <w:rPr>
          <w:sz w:val="24"/>
          <w:szCs w:val="24"/>
        </w:rPr>
        <w:t xml:space="preserve">sts (less depreciation) equals </w:t>
      </w:r>
      <w:bookmarkStart w:id="0" w:name="_GoBack"/>
      <w:bookmarkEnd w:id="0"/>
      <w:r>
        <w:rPr>
          <w:sz w:val="24"/>
          <w:szCs w:val="24"/>
        </w:rPr>
        <w:t>land value</w:t>
      </w:r>
    </w:p>
    <w:p w:rsidR="00380758" w:rsidRDefault="00380758" w:rsidP="00380758">
      <w:pPr>
        <w:suppressAutoHyphens/>
        <w:ind w:left="2160" w:hanging="720"/>
        <w:rPr>
          <w:spacing w:val="-3"/>
        </w:rPr>
      </w:pPr>
      <w:r>
        <w:rPr>
          <w:spacing w:val="-3"/>
        </w:rPr>
        <w:t>3.</w:t>
      </w:r>
      <w:r>
        <w:rPr>
          <w:spacing w:val="-3"/>
        </w:rPr>
        <w:tab/>
        <w:t xml:space="preserve">Used only when there is a lack of current sales data for vacant sites similar to and competitive with the subject site   </w:t>
      </w:r>
    </w:p>
    <w:p w:rsidR="00380758" w:rsidRDefault="00380758" w:rsidP="00380758">
      <w:pPr>
        <w:pStyle w:val="BodyTextIndent3"/>
        <w:spacing w:after="0"/>
        <w:ind w:left="2160" w:hanging="720"/>
        <w:rPr>
          <w:sz w:val="24"/>
          <w:szCs w:val="24"/>
        </w:rPr>
      </w:pPr>
    </w:p>
    <w:p w:rsidR="00380758" w:rsidRDefault="00380758" w:rsidP="00380758">
      <w:pPr>
        <w:suppressAutoHyphens/>
        <w:jc w:val="center"/>
        <w:rPr>
          <w:b/>
          <w:spacing w:val="-3"/>
        </w:rPr>
      </w:pPr>
    </w:p>
    <w:p w:rsidR="00380758" w:rsidRDefault="00380758" w:rsidP="00380758">
      <w:pPr>
        <w:suppressAutoHyphens/>
        <w:jc w:val="center"/>
        <w:rPr>
          <w:b/>
          <w:spacing w:val="-3"/>
        </w:rPr>
      </w:pPr>
      <w:r>
        <w:rPr>
          <w:b/>
          <w:spacing w:val="-3"/>
        </w:rPr>
        <w:t>Exercise 9-3</w:t>
      </w:r>
    </w:p>
    <w:p w:rsidR="00380758" w:rsidRDefault="00380758" w:rsidP="00380758">
      <w:pPr>
        <w:pStyle w:val="BodyTextIndent"/>
        <w:tabs>
          <w:tab w:val="clear" w:pos="-720"/>
          <w:tab w:val="clear" w:pos="0"/>
          <w:tab w:val="left" w:pos="720"/>
        </w:tabs>
        <w:ind w:left="0" w:firstLine="0"/>
        <w:rPr>
          <w:szCs w:val="24"/>
        </w:rPr>
      </w:pPr>
    </w:p>
    <w:p w:rsidR="00380758" w:rsidRDefault="00380758" w:rsidP="00380758">
      <w:pPr>
        <w:pStyle w:val="BodyTextIndent"/>
        <w:tabs>
          <w:tab w:val="clear" w:pos="-720"/>
          <w:tab w:val="clear" w:pos="0"/>
          <w:tab w:val="left" w:pos="720"/>
        </w:tabs>
        <w:ind w:left="1440"/>
        <w:rPr>
          <w:szCs w:val="24"/>
        </w:rPr>
      </w:pPr>
      <w:r>
        <w:rPr>
          <w:szCs w:val="24"/>
        </w:rPr>
        <w:t>C.</w:t>
      </w:r>
      <w:r>
        <w:rPr>
          <w:szCs w:val="24"/>
        </w:rPr>
        <w:tab/>
        <w:t>Abstraction (extraction) method—similar to allocation method—improvement costs less depreciation are deducted from the sales price and the amount remaining is attributed to land value (see Figure 9.1)</w:t>
      </w:r>
    </w:p>
    <w:p w:rsidR="00380758" w:rsidRDefault="00380758" w:rsidP="00380758">
      <w:pPr>
        <w:pStyle w:val="BodyTextIndent"/>
        <w:tabs>
          <w:tab w:val="clear" w:pos="-720"/>
          <w:tab w:val="clear" w:pos="0"/>
          <w:tab w:val="left" w:pos="720"/>
        </w:tabs>
        <w:ind w:left="1440"/>
        <w:rPr>
          <w:szCs w:val="24"/>
        </w:rPr>
      </w:pPr>
      <w:r>
        <w:rPr>
          <w:szCs w:val="24"/>
        </w:rPr>
        <w:t>D.</w:t>
      </w:r>
      <w:r>
        <w:rPr>
          <w:szCs w:val="24"/>
        </w:rPr>
        <w:tab/>
        <w:t xml:space="preserve">Subdivision development method (also called land development method)—costs of development compared to projected sales income </w:t>
      </w:r>
    </w:p>
    <w:p w:rsidR="00380758" w:rsidRDefault="00380758" w:rsidP="00380758">
      <w:pPr>
        <w:pStyle w:val="Heading2"/>
        <w:rPr>
          <w:szCs w:val="24"/>
        </w:rPr>
      </w:pPr>
    </w:p>
    <w:p w:rsidR="00380758" w:rsidRDefault="00380758" w:rsidP="00380758">
      <w:pPr>
        <w:pStyle w:val="Heading2"/>
        <w:rPr>
          <w:szCs w:val="24"/>
        </w:rPr>
      </w:pPr>
      <w:r>
        <w:rPr>
          <w:szCs w:val="24"/>
        </w:rPr>
        <w:t>Exercise 9-4</w:t>
      </w:r>
    </w:p>
    <w:p w:rsidR="00380758" w:rsidRDefault="00380758" w:rsidP="00380758"/>
    <w:p w:rsidR="00380758" w:rsidRDefault="00380758" w:rsidP="00380758">
      <w:pPr>
        <w:suppressAutoHyphens/>
        <w:ind w:firstLine="720"/>
        <w:rPr>
          <w:spacing w:val="-3"/>
        </w:rPr>
      </w:pPr>
      <w:r>
        <w:rPr>
          <w:spacing w:val="-3"/>
        </w:rPr>
        <w:t>E.</w:t>
      </w:r>
      <w:r>
        <w:rPr>
          <w:spacing w:val="-3"/>
        </w:rPr>
        <w:tab/>
        <w:t>Ground rent capitalization—analysis of income expectation for land alone</w:t>
      </w:r>
    </w:p>
    <w:p w:rsidR="00380758" w:rsidRDefault="00380758" w:rsidP="00380758">
      <w:pPr>
        <w:suppressAutoHyphens/>
        <w:rPr>
          <w:spacing w:val="-3"/>
        </w:rPr>
      </w:pPr>
    </w:p>
    <w:p w:rsidR="00380758" w:rsidRDefault="00380758" w:rsidP="00380758">
      <w:pPr>
        <w:pStyle w:val="Heading2"/>
        <w:jc w:val="left"/>
        <w:rPr>
          <w:b w:val="0"/>
          <w:szCs w:val="24"/>
        </w:rPr>
      </w:pPr>
      <w:r>
        <w:rPr>
          <w:b w:val="0"/>
          <w:szCs w:val="24"/>
        </w:rPr>
        <w:t>Summary</w:t>
      </w:r>
    </w:p>
    <w:p w:rsidR="00380758" w:rsidRDefault="00380758" w:rsidP="00380758">
      <w:pPr>
        <w:suppressAutoHyphens/>
        <w:rPr>
          <w:spacing w:val="-3"/>
        </w:rPr>
      </w:pPr>
    </w:p>
    <w:p w:rsidR="00380758" w:rsidRDefault="00380758" w:rsidP="00380758">
      <w:pPr>
        <w:pStyle w:val="Heading2"/>
        <w:jc w:val="left"/>
        <w:rPr>
          <w:b w:val="0"/>
          <w:szCs w:val="24"/>
        </w:rPr>
      </w:pPr>
      <w:r>
        <w:rPr>
          <w:b w:val="0"/>
          <w:szCs w:val="24"/>
        </w:rPr>
        <w:t>Review Questions</w:t>
      </w:r>
    </w:p>
    <w:p w:rsidR="00380758" w:rsidRDefault="00380758" w:rsidP="00380758">
      <w:pPr>
        <w:suppressAutoHyphens/>
        <w:ind w:left="1080"/>
      </w:pPr>
    </w:p>
    <w:p w:rsidR="007C37BE" w:rsidRPr="00FE1DBC" w:rsidRDefault="007C37BE" w:rsidP="007C37BE">
      <w:pPr>
        <w:widowControl w:val="0"/>
        <w:rPr>
          <w:b/>
        </w:rPr>
      </w:pP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5E"/>
    <w:multiLevelType w:val="hybridMultilevel"/>
    <w:tmpl w:val="3CB0A3F4"/>
    <w:lvl w:ilvl="0" w:tplc="0592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7EF"/>
    <w:multiLevelType w:val="hybridMultilevel"/>
    <w:tmpl w:val="19DA3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7EB3"/>
    <w:multiLevelType w:val="hybridMultilevel"/>
    <w:tmpl w:val="C9EABD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A76AA3"/>
    <w:multiLevelType w:val="hybridMultilevel"/>
    <w:tmpl w:val="65587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0A25"/>
    <w:multiLevelType w:val="hybridMultilevel"/>
    <w:tmpl w:val="9DB25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B3F"/>
    <w:multiLevelType w:val="hybridMultilevel"/>
    <w:tmpl w:val="4F806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1C19"/>
    <w:multiLevelType w:val="hybridMultilevel"/>
    <w:tmpl w:val="618486B6"/>
    <w:lvl w:ilvl="0" w:tplc="49CE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F2C"/>
    <w:multiLevelType w:val="hybridMultilevel"/>
    <w:tmpl w:val="2CE6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AF1821"/>
    <w:multiLevelType w:val="hybridMultilevel"/>
    <w:tmpl w:val="A61E7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D27ABD"/>
    <w:multiLevelType w:val="hybridMultilevel"/>
    <w:tmpl w:val="0A329E6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E4709"/>
    <w:multiLevelType w:val="hybridMultilevel"/>
    <w:tmpl w:val="DA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4062F"/>
    <w:multiLevelType w:val="hybridMultilevel"/>
    <w:tmpl w:val="DDA0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843535"/>
    <w:multiLevelType w:val="hybridMultilevel"/>
    <w:tmpl w:val="D40E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175C"/>
    <w:multiLevelType w:val="hybridMultilevel"/>
    <w:tmpl w:val="9292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64657C"/>
    <w:multiLevelType w:val="hybridMultilevel"/>
    <w:tmpl w:val="3A42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C16EB"/>
    <w:multiLevelType w:val="hybridMultilevel"/>
    <w:tmpl w:val="D2CEB4EA"/>
    <w:lvl w:ilvl="0" w:tplc="79B82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81B1D"/>
    <w:multiLevelType w:val="hybridMultilevel"/>
    <w:tmpl w:val="F08CAD50"/>
    <w:lvl w:ilvl="0" w:tplc="532AE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F69AC"/>
    <w:multiLevelType w:val="hybridMultilevel"/>
    <w:tmpl w:val="E642FDF2"/>
    <w:lvl w:ilvl="0" w:tplc="98B00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5328D"/>
    <w:multiLevelType w:val="hybridMultilevel"/>
    <w:tmpl w:val="1250F1F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A05896"/>
    <w:multiLevelType w:val="hybridMultilevel"/>
    <w:tmpl w:val="8F843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69FC"/>
    <w:multiLevelType w:val="hybridMultilevel"/>
    <w:tmpl w:val="81B80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A56DFC"/>
    <w:multiLevelType w:val="hybridMultilevel"/>
    <w:tmpl w:val="B4B280CA"/>
    <w:lvl w:ilvl="0" w:tplc="852C5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F587A"/>
    <w:multiLevelType w:val="hybridMultilevel"/>
    <w:tmpl w:val="15EAF0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CB36987"/>
    <w:multiLevelType w:val="hybridMultilevel"/>
    <w:tmpl w:val="7AEACD8A"/>
    <w:lvl w:ilvl="0" w:tplc="7DF4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0283B"/>
    <w:multiLevelType w:val="hybridMultilevel"/>
    <w:tmpl w:val="475E7042"/>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F3928FC"/>
    <w:multiLevelType w:val="hybridMultilevel"/>
    <w:tmpl w:val="04B4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B4DE7"/>
    <w:multiLevelType w:val="hybridMultilevel"/>
    <w:tmpl w:val="D8BE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17A1D93"/>
    <w:multiLevelType w:val="hybridMultilevel"/>
    <w:tmpl w:val="7B62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45A6"/>
    <w:multiLevelType w:val="hybridMultilevel"/>
    <w:tmpl w:val="84C29F3E"/>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DB13BD"/>
    <w:multiLevelType w:val="hybridMultilevel"/>
    <w:tmpl w:val="F474CA5A"/>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BAE10B5"/>
    <w:multiLevelType w:val="hybridMultilevel"/>
    <w:tmpl w:val="2D242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C3675AC"/>
    <w:multiLevelType w:val="hybridMultilevel"/>
    <w:tmpl w:val="1F4E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757F1"/>
    <w:multiLevelType w:val="hybridMultilevel"/>
    <w:tmpl w:val="F216C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0341FB7"/>
    <w:multiLevelType w:val="hybridMultilevel"/>
    <w:tmpl w:val="471C6740"/>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1C12AA4"/>
    <w:multiLevelType w:val="hybridMultilevel"/>
    <w:tmpl w:val="FCC2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41D90"/>
    <w:multiLevelType w:val="hybridMultilevel"/>
    <w:tmpl w:val="92F65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8F5786C"/>
    <w:multiLevelType w:val="hybridMultilevel"/>
    <w:tmpl w:val="E9F850AE"/>
    <w:lvl w:ilvl="0" w:tplc="01DED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2398A"/>
    <w:multiLevelType w:val="hybridMultilevel"/>
    <w:tmpl w:val="E4BED772"/>
    <w:lvl w:ilvl="0" w:tplc="929CD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162EC"/>
    <w:multiLevelType w:val="hybridMultilevel"/>
    <w:tmpl w:val="8B2A5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C6E05"/>
    <w:multiLevelType w:val="hybridMultilevel"/>
    <w:tmpl w:val="43F0C604"/>
    <w:lvl w:ilvl="0" w:tplc="170EB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05C88"/>
    <w:multiLevelType w:val="hybridMultilevel"/>
    <w:tmpl w:val="1C06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E1A272B"/>
    <w:multiLevelType w:val="hybridMultilevel"/>
    <w:tmpl w:val="A74692F8"/>
    <w:lvl w:ilvl="0" w:tplc="F934C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E0599"/>
    <w:multiLevelType w:val="hybridMultilevel"/>
    <w:tmpl w:val="E502040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4D31642"/>
    <w:multiLevelType w:val="hybridMultilevel"/>
    <w:tmpl w:val="46941F14"/>
    <w:lvl w:ilvl="0" w:tplc="5356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5365"/>
    <w:multiLevelType w:val="hybridMultilevel"/>
    <w:tmpl w:val="04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51BBE"/>
    <w:multiLevelType w:val="hybridMultilevel"/>
    <w:tmpl w:val="05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C0F52"/>
    <w:multiLevelType w:val="hybridMultilevel"/>
    <w:tmpl w:val="E26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368A7"/>
    <w:multiLevelType w:val="hybridMultilevel"/>
    <w:tmpl w:val="5270EFAC"/>
    <w:lvl w:ilvl="0" w:tplc="7A0EF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7"/>
  </w:num>
  <w:num w:numId="3">
    <w:abstractNumId w:val="48"/>
  </w:num>
  <w:num w:numId="4">
    <w:abstractNumId w:val="14"/>
  </w:num>
  <w:num w:numId="5">
    <w:abstractNumId w:val="27"/>
  </w:num>
  <w:num w:numId="6">
    <w:abstractNumId w:val="16"/>
  </w:num>
  <w:num w:numId="7">
    <w:abstractNumId w:val="4"/>
  </w:num>
  <w:num w:numId="8">
    <w:abstractNumId w:val="23"/>
  </w:num>
  <w:num w:numId="9">
    <w:abstractNumId w:val="5"/>
  </w:num>
  <w:num w:numId="10">
    <w:abstractNumId w:val="37"/>
  </w:num>
  <w:num w:numId="11">
    <w:abstractNumId w:val="25"/>
  </w:num>
  <w:num w:numId="12">
    <w:abstractNumId w:val="6"/>
  </w:num>
  <w:num w:numId="13">
    <w:abstractNumId w:val="45"/>
  </w:num>
  <w:num w:numId="14">
    <w:abstractNumId w:val="17"/>
  </w:num>
  <w:num w:numId="15">
    <w:abstractNumId w:val="35"/>
  </w:num>
  <w:num w:numId="16">
    <w:abstractNumId w:val="21"/>
  </w:num>
  <w:num w:numId="17">
    <w:abstractNumId w:val="39"/>
  </w:num>
  <w:num w:numId="18">
    <w:abstractNumId w:val="38"/>
  </w:num>
  <w:num w:numId="19">
    <w:abstractNumId w:val="3"/>
  </w:num>
  <w:num w:numId="20">
    <w:abstractNumId w:val="15"/>
  </w:num>
  <w:num w:numId="21">
    <w:abstractNumId w:val="19"/>
  </w:num>
  <w:num w:numId="22">
    <w:abstractNumId w:val="40"/>
  </w:num>
  <w:num w:numId="23">
    <w:abstractNumId w:val="1"/>
  </w:num>
  <w:num w:numId="24">
    <w:abstractNumId w:val="0"/>
  </w:num>
  <w:num w:numId="25">
    <w:abstractNumId w:val="32"/>
  </w:num>
  <w:num w:numId="26">
    <w:abstractNumId w:val="44"/>
  </w:num>
  <w:num w:numId="27">
    <w:abstractNumId w:val="12"/>
  </w:num>
  <w:num w:numId="28">
    <w:abstractNumId w:val="42"/>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0"/>
  </w:num>
  <w:num w:numId="48">
    <w:abstractNumId w:val="46"/>
  </w:num>
  <w:num w:numId="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0758"/>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A06F4"/>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2">
    <w:name w:val="heading 2"/>
    <w:basedOn w:val="Normal"/>
    <w:next w:val="Normal"/>
    <w:link w:val="Heading2Char"/>
    <w:uiPriority w:val="9"/>
    <w:qFormat/>
    <w:rsid w:val="00380758"/>
    <w:pPr>
      <w:keepNext/>
      <w:widowControl w:val="0"/>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2Char">
    <w:name w:val="Heading 2 Char"/>
    <w:basedOn w:val="DefaultParagraphFont"/>
    <w:link w:val="Heading2"/>
    <w:uiPriority w:val="9"/>
    <w:rsid w:val="00380758"/>
    <w:rPr>
      <w:b/>
      <w:spacing w:val="-3"/>
      <w:sz w:val="24"/>
    </w:rPr>
  </w:style>
  <w:style w:type="paragraph" w:styleId="BodyTextIndent">
    <w:name w:val="Body Text Indent"/>
    <w:basedOn w:val="Normal"/>
    <w:link w:val="BodyTextIndentChar"/>
    <w:uiPriority w:val="99"/>
    <w:rsid w:val="00380758"/>
    <w:pPr>
      <w:widowControl w:val="0"/>
      <w:tabs>
        <w:tab w:val="left" w:pos="-720"/>
        <w:tab w:val="left" w:pos="0"/>
      </w:tabs>
      <w:suppressAutoHyphens/>
      <w:snapToGrid w:val="0"/>
      <w:ind w:left="720" w:hanging="720"/>
    </w:pPr>
    <w:rPr>
      <w:spacing w:val="-3"/>
      <w:szCs w:val="20"/>
    </w:rPr>
  </w:style>
  <w:style w:type="character" w:customStyle="1" w:styleId="BodyTextIndentChar">
    <w:name w:val="Body Text Indent Char"/>
    <w:basedOn w:val="DefaultParagraphFont"/>
    <w:link w:val="BodyTextIndent"/>
    <w:uiPriority w:val="99"/>
    <w:rsid w:val="00380758"/>
    <w:rPr>
      <w:spacing w:val="-3"/>
      <w:sz w:val="24"/>
    </w:rPr>
  </w:style>
  <w:style w:type="paragraph" w:styleId="BodyTextIndent2">
    <w:name w:val="Body Text Indent 2"/>
    <w:basedOn w:val="Normal"/>
    <w:link w:val="BodyTextIndent2Char"/>
    <w:uiPriority w:val="99"/>
    <w:rsid w:val="00380758"/>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380758"/>
    <w:rPr>
      <w:spacing w:val="-3"/>
      <w:sz w:val="24"/>
    </w:rPr>
  </w:style>
  <w:style w:type="paragraph" w:customStyle="1" w:styleId="T1st">
    <w:name w:val="T_1st"/>
    <w:rsid w:val="00380758"/>
    <w:pPr>
      <w:autoSpaceDE w:val="0"/>
      <w:autoSpaceDN w:val="0"/>
      <w:adjustRightInd w:val="0"/>
      <w:spacing w:line="240" w:lineRule="atLeast"/>
      <w:jc w:val="both"/>
    </w:pPr>
    <w:rPr>
      <w:rFonts w:ascii="Garamond" w:hAnsi="Garamond" w:cs="Garamond"/>
      <w:color w:val="000000"/>
      <w:w w:val="0"/>
    </w:rPr>
  </w:style>
  <w:style w:type="paragraph" w:styleId="BodyTextIndent3">
    <w:name w:val="Body Text Indent 3"/>
    <w:basedOn w:val="Normal"/>
    <w:link w:val="BodyTextIndent3Char"/>
    <w:unhideWhenUsed/>
    <w:rsid w:val="00380758"/>
    <w:pPr>
      <w:spacing w:after="120"/>
      <w:ind w:left="360"/>
    </w:pPr>
    <w:rPr>
      <w:sz w:val="16"/>
      <w:szCs w:val="16"/>
    </w:rPr>
  </w:style>
  <w:style w:type="character" w:customStyle="1" w:styleId="BodyTextIndent3Char">
    <w:name w:val="Body Text Indent 3 Char"/>
    <w:basedOn w:val="DefaultParagraphFont"/>
    <w:link w:val="BodyTextIndent3"/>
    <w:rsid w:val="003807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2018-05-10T21:23:00Z</dcterms:created>
  <dcterms:modified xsi:type="dcterms:W3CDTF">2018-05-11T15:10:00Z</dcterms:modified>
</cp:coreProperties>
</file>