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1C" w:rsidRDefault="003A591C" w:rsidP="003A591C">
      <w:pPr>
        <w:pStyle w:val="Title"/>
        <w:tabs>
          <w:tab w:val="clear" w:pos="-720"/>
          <w:tab w:val="left" w:pos="72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13 Outline</w:t>
      </w:r>
    </w:p>
    <w:p w:rsidR="003A591C" w:rsidRDefault="003A591C" w:rsidP="003A591C">
      <w:pPr>
        <w:suppressAutoHyphens/>
        <w:rPr>
          <w:b/>
          <w:spacing w:val="-3"/>
        </w:rPr>
      </w:pPr>
    </w:p>
    <w:p w:rsidR="003A591C" w:rsidRDefault="003A591C" w:rsidP="003A591C">
      <w:pPr>
        <w:suppressAutoHyphens/>
        <w:rPr>
          <w:b/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>Study of this unit should enable the student to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identify the principle that is fundamental to the income capitalization approach;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define gross income and potential gross income;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compare and contrast market rent, scheduled rent, and historical rent;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define effective gross income and net operating income;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calculate vacancy and collection loss;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classify operating expenses as variable expenses, fixed expenses, or reserves for replacement;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distinguish expenses for accounting purposes from expenses for appraisal purposes;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reconstruct an operating statement;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develop a GRM (or GIM) and opinion of value for a subject property;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complete the Income section of the URAR form; and</w:t>
      </w:r>
    </w:p>
    <w:p w:rsidR="003A591C" w:rsidRDefault="003A591C" w:rsidP="003A591C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proofErr w:type="gramStart"/>
      <w:r>
        <w:rPr>
          <w:spacing w:val="-3"/>
        </w:rPr>
        <w:t>derive</w:t>
      </w:r>
      <w:proofErr w:type="gramEnd"/>
      <w:r>
        <w:rPr>
          <w:spacing w:val="-3"/>
        </w:rPr>
        <w:t xml:space="preserve"> an operating expense ratio, net income ratio, and break-even ratio.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b/>
          <w:spacing w:val="-3"/>
        </w:rPr>
        <w:t>Unit Outline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The Income-Based Approaches to Appraisal</w:t>
      </w:r>
    </w:p>
    <w:p w:rsidR="003A591C" w:rsidRDefault="003A591C" w:rsidP="003A591C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Income Capitalization and the Principle of Anticipation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21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Income capitalization approach—the appraiser estimates the market value of property based on its anticipated income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Gross income/rent multiplier—the appraiser compares rents (and other income, if any) of similar properties with their selling prices to arrive at a determination of value for the subject property 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pStyle w:val="BodyTextIndent2"/>
        <w:ind w:left="720"/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>Potential Gross Income—total potential income from all sources during a specific period of time, usually a year</w:t>
      </w:r>
    </w:p>
    <w:p w:rsidR="003A591C" w:rsidRDefault="003A591C" w:rsidP="003A591C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Rent—major source of income from most investments in real estate</w:t>
      </w:r>
    </w:p>
    <w:p w:rsidR="003A591C" w:rsidRDefault="003A591C" w:rsidP="003A591C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Market rent (also called economic rent)—estimate of a property's rent potential</w:t>
      </w:r>
    </w:p>
    <w:p w:rsidR="003A591C" w:rsidRDefault="003A591C" w:rsidP="003A591C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Scheduled rent (also called contract rent)—rent currently being paid by agreement between tenant and landlord</w:t>
      </w:r>
    </w:p>
    <w:p w:rsidR="003A591C" w:rsidRDefault="003A591C" w:rsidP="003A591C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Historical rent—scheduled rent paid in past years</w:t>
      </w:r>
    </w:p>
    <w:p w:rsidR="003A591C" w:rsidRDefault="003A591C" w:rsidP="003A591C">
      <w:pPr>
        <w:pStyle w:val="Heading2"/>
        <w:rPr>
          <w:szCs w:val="24"/>
        </w:rPr>
      </w:pPr>
    </w:p>
    <w:p w:rsidR="003A591C" w:rsidRDefault="003A591C" w:rsidP="003A591C">
      <w:pPr>
        <w:pStyle w:val="Heading2"/>
        <w:rPr>
          <w:szCs w:val="24"/>
        </w:rPr>
      </w:pPr>
      <w:r>
        <w:rPr>
          <w:szCs w:val="24"/>
        </w:rPr>
        <w:t>Exercise 13-1</w:t>
      </w:r>
    </w:p>
    <w:p w:rsidR="003A591C" w:rsidRDefault="003A591C" w:rsidP="003A591C"/>
    <w:p w:rsidR="003A591C" w:rsidRDefault="003A591C" w:rsidP="003A591C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Outside Economic Factors—national, regional, and local factors also may have to be analyzed in deriving market rent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lastRenderedPageBreak/>
        <w:t>C.</w:t>
      </w:r>
      <w:r>
        <w:rPr>
          <w:szCs w:val="24"/>
        </w:rPr>
        <w:tab/>
        <w:t>Other Income—non-real estate income, such as income from vending machines, laundry services and parking</w:t>
      </w:r>
    </w:p>
    <w:p w:rsidR="003A591C" w:rsidRDefault="003A591C" w:rsidP="003A591C">
      <w:pPr>
        <w:pStyle w:val="Heading2"/>
        <w:rPr>
          <w:szCs w:val="24"/>
        </w:rPr>
      </w:pPr>
    </w:p>
    <w:p w:rsidR="003A591C" w:rsidRDefault="003A591C" w:rsidP="003A591C">
      <w:pPr>
        <w:pStyle w:val="Heading2"/>
        <w:rPr>
          <w:szCs w:val="24"/>
        </w:rPr>
      </w:pPr>
      <w:r>
        <w:rPr>
          <w:szCs w:val="24"/>
        </w:rPr>
        <w:t>Exercise 13-2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pStyle w:val="BodyTextIndent2"/>
        <w:ind w:left="720"/>
        <w:rPr>
          <w:szCs w:val="24"/>
        </w:rPr>
      </w:pPr>
      <w:r>
        <w:rPr>
          <w:szCs w:val="24"/>
        </w:rPr>
        <w:t>IV.</w:t>
      </w:r>
      <w:r>
        <w:rPr>
          <w:szCs w:val="24"/>
        </w:rPr>
        <w:tab/>
        <w:t>Effective Gross Income—estimated gross income reduced by percentage of market rent that will probably be lost due to vacancies and/or collection losses</w:t>
      </w:r>
    </w:p>
    <w:p w:rsidR="003A591C" w:rsidRDefault="003A591C" w:rsidP="003A591C">
      <w:pPr>
        <w:pStyle w:val="Heading2"/>
        <w:rPr>
          <w:szCs w:val="24"/>
        </w:rPr>
      </w:pPr>
    </w:p>
    <w:p w:rsidR="003A591C" w:rsidRDefault="003A591C" w:rsidP="003A591C">
      <w:pPr>
        <w:pStyle w:val="Heading2"/>
        <w:rPr>
          <w:szCs w:val="24"/>
        </w:rPr>
      </w:pPr>
      <w:r>
        <w:rPr>
          <w:szCs w:val="24"/>
        </w:rPr>
        <w:t>Exercise 13-3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>V.</w:t>
      </w:r>
      <w:r>
        <w:rPr>
          <w:spacing w:val="-3"/>
        </w:rPr>
        <w:tab/>
        <w:t>Net Operating Income (NOI)—effective gross income less operating expenses</w:t>
      </w:r>
    </w:p>
    <w:p w:rsidR="003A591C" w:rsidRDefault="003A591C" w:rsidP="003A591C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Classification of Operating Expenses</w:t>
      </w:r>
    </w:p>
    <w:p w:rsidR="003A591C" w:rsidRDefault="003A591C" w:rsidP="003A591C">
      <w:pPr>
        <w:pStyle w:val="BodyTextIndent3"/>
        <w:spacing w:after="0"/>
        <w:ind w:left="2160" w:hanging="720"/>
        <w:rPr>
          <w:spacing w:val="-3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Variable expenses—out-of-pocket costs incurred for wages, repairs and other items</w:t>
      </w:r>
    </w:p>
    <w:p w:rsidR="003A591C" w:rsidRDefault="003A591C" w:rsidP="003A591C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Fixed expenses—more or less permanent costs that do not vary according to occupancy, such as real estate taxes</w:t>
      </w:r>
    </w:p>
    <w:p w:rsidR="003A591C" w:rsidRDefault="003A591C" w:rsidP="003A591C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Reserves for replacement—allowances set up for building and equipment items with relatively short life expectancy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Expenses for Accounting Purposes versus Expenses for Appraisal Purposes—expenses to the owner that are not operating expenses of real estate</w:t>
      </w:r>
    </w:p>
    <w:p w:rsidR="003A591C" w:rsidRDefault="003A591C" w:rsidP="003A591C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Financing costs</w:t>
      </w:r>
    </w:p>
    <w:p w:rsidR="003A591C" w:rsidRDefault="003A591C" w:rsidP="003A591C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Income tax payments</w:t>
      </w:r>
    </w:p>
    <w:p w:rsidR="003A591C" w:rsidRDefault="003A591C" w:rsidP="003A591C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Depreciation charges on buildings or other improvements</w:t>
      </w:r>
    </w:p>
    <w:p w:rsidR="003A591C" w:rsidRDefault="003A591C" w:rsidP="003A591C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Capital improvements 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Reconstructing the Operating Statement (Figure 13.1)—eliminating inapplicable expenses and adjusting the remaining valid expenses, if necessary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>The operating statement can be prepared using either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a.</w:t>
      </w:r>
      <w:r>
        <w:rPr>
          <w:szCs w:val="24"/>
        </w:rPr>
        <w:tab/>
        <w:t>Cash basis accounting—revenue recorded when received;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</w:t>
      </w:r>
      <w:proofErr w:type="gramStart"/>
      <w:r>
        <w:rPr>
          <w:szCs w:val="24"/>
        </w:rPr>
        <w:t>expenses</w:t>
      </w:r>
      <w:proofErr w:type="gramEnd"/>
      <w:r>
        <w:rPr>
          <w:szCs w:val="24"/>
        </w:rPr>
        <w:t xml:space="preserve"> recorded when paid</w:t>
      </w:r>
    </w:p>
    <w:p w:rsidR="003A591C" w:rsidRDefault="003A591C" w:rsidP="003A591C">
      <w:pPr>
        <w:pStyle w:val="BodyTextIndent"/>
        <w:tabs>
          <w:tab w:val="left" w:pos="720"/>
        </w:tabs>
        <w:ind w:left="288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Accrual basis accounting—revenue recorded for period whether or not it has been received during period; expenses recorded for period whether or not they have been paid during period</w:t>
      </w:r>
      <w:r>
        <w:rPr>
          <w:szCs w:val="24"/>
        </w:rPr>
        <w:tab/>
      </w:r>
      <w:r>
        <w:rPr>
          <w:szCs w:val="24"/>
        </w:rPr>
        <w:tab/>
      </w:r>
    </w:p>
    <w:p w:rsidR="003A591C" w:rsidRDefault="003A591C" w:rsidP="003A591C">
      <w:pPr>
        <w:pStyle w:val="Heading2"/>
        <w:rPr>
          <w:szCs w:val="24"/>
        </w:rPr>
      </w:pPr>
    </w:p>
    <w:p w:rsidR="003A591C" w:rsidRDefault="003A591C" w:rsidP="003A591C">
      <w:pPr>
        <w:pStyle w:val="Heading2"/>
        <w:rPr>
          <w:szCs w:val="24"/>
        </w:rPr>
      </w:pPr>
      <w:r>
        <w:rPr>
          <w:szCs w:val="24"/>
        </w:rPr>
        <w:t>Exercise 13-4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pStyle w:val="BodyTextIndent2"/>
        <w:ind w:left="720"/>
        <w:rPr>
          <w:szCs w:val="24"/>
        </w:rPr>
      </w:pPr>
      <w:r>
        <w:rPr>
          <w:szCs w:val="24"/>
        </w:rPr>
        <w:t>VI.</w:t>
      </w:r>
      <w:r>
        <w:rPr>
          <w:szCs w:val="24"/>
        </w:rPr>
        <w:tab/>
        <w:t>Operating Statement Ratios—show the effect on value of varying expense levels in relation to income</w:t>
      </w:r>
    </w:p>
    <w:p w:rsidR="003A591C" w:rsidRDefault="003A591C" w:rsidP="003A591C">
      <w:pPr>
        <w:pStyle w:val="BodyTextIndent3"/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Operating expense ratio—ratio of total operating expenses to effective gross income—formula: operating expenses divided by effective gross income equal operating expense ratio</w:t>
      </w:r>
    </w:p>
    <w:p w:rsidR="003A591C" w:rsidRDefault="003A591C" w:rsidP="003A591C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Net income ratio—ratio of net operating income to effective gross income—formula: net operating income divided by effective gross income equals net income ratio</w:t>
      </w:r>
    </w:p>
    <w:p w:rsidR="003A591C" w:rsidRDefault="003A591C" w:rsidP="003A591C">
      <w:pPr>
        <w:pStyle w:val="BodyTextIndent3"/>
        <w:spacing w:after="0"/>
        <w:ind w:left="1440" w:hanging="720"/>
        <w:rPr>
          <w:spacing w:val="-3"/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Breakeven ratio—ratio of operating expenses plus the property's annual debt service to potential gross income—formula: operating expenses plus debt service divided by potential gross income equals break-even ratio</w:t>
      </w:r>
    </w:p>
    <w:p w:rsidR="003A591C" w:rsidRDefault="003A591C" w:rsidP="003A591C">
      <w:pPr>
        <w:pStyle w:val="Heading2"/>
        <w:rPr>
          <w:szCs w:val="24"/>
        </w:rPr>
      </w:pPr>
    </w:p>
    <w:p w:rsidR="003A591C" w:rsidRDefault="003A591C" w:rsidP="003A591C">
      <w:pPr>
        <w:pStyle w:val="Heading2"/>
        <w:rPr>
          <w:szCs w:val="24"/>
        </w:rPr>
      </w:pPr>
      <w:r>
        <w:rPr>
          <w:szCs w:val="24"/>
        </w:rPr>
        <w:t>Exercise 13-5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0" w:firstLine="0"/>
        <w:rPr>
          <w:szCs w:val="24"/>
        </w:rPr>
      </w:pP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Gross income multiplier (also called potential gross income multiplier) and gross rent multiplier—substitute for a more elaborate income capitalization analysis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>Each relates the sales price of a property to its rental income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>Effective gross income multiplier results when vacancy and collection losses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are deducted from gross income before multiplier is derived </w:t>
      </w: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0" w:firstLine="0"/>
        <w:jc w:val="center"/>
        <w:rPr>
          <w:b/>
          <w:szCs w:val="24"/>
        </w:rPr>
      </w:pPr>
    </w:p>
    <w:p w:rsidR="003A591C" w:rsidRDefault="003A591C" w:rsidP="003A591C">
      <w:pPr>
        <w:pStyle w:val="BodyTextIndent"/>
        <w:tabs>
          <w:tab w:val="clear" w:pos="-720"/>
          <w:tab w:val="clear" w:pos="0"/>
          <w:tab w:val="left" w:pos="720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Exercise 13-6</w:t>
      </w:r>
    </w:p>
    <w:p w:rsidR="003A591C" w:rsidRDefault="003A591C" w:rsidP="003A591C">
      <w:pPr>
        <w:pStyle w:val="BodyTextIndent2"/>
        <w:ind w:left="0" w:firstLine="0"/>
        <w:rPr>
          <w:szCs w:val="24"/>
        </w:rPr>
      </w:pPr>
    </w:p>
    <w:p w:rsidR="003A591C" w:rsidRDefault="003A591C" w:rsidP="003A591C">
      <w:pPr>
        <w:pStyle w:val="BodyTextIndent2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 xml:space="preserve">Applying the GRM to residential properties—sales price divided by gross rent equals GRM </w:t>
      </w:r>
    </w:p>
    <w:p w:rsidR="003A591C" w:rsidRDefault="003A591C" w:rsidP="003A591C">
      <w:pPr>
        <w:pStyle w:val="BodyTextIndent2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>Estimate the subject property’s monthly market rent</w:t>
      </w:r>
    </w:p>
    <w:p w:rsidR="003A591C" w:rsidRDefault="003A591C" w:rsidP="003A591C">
      <w:pPr>
        <w:pStyle w:val="BodyTextIndent2"/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Calculate gross rent multipliers from recently sold comparable properties that were rented at the time of sale</w:t>
      </w:r>
    </w:p>
    <w:p w:rsidR="003A591C" w:rsidRDefault="003A591C" w:rsidP="003A591C">
      <w:pPr>
        <w:pStyle w:val="BodyTextIndent2"/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Based on rent multiplier analysis, derive the appropriate GRM for the subject property</w:t>
      </w:r>
    </w:p>
    <w:p w:rsidR="003A591C" w:rsidRDefault="003A591C" w:rsidP="003A591C">
      <w:pPr>
        <w:pStyle w:val="BodyTextIndent2"/>
        <w:ind w:left="216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 an opinion of market value by multiplying the amount of the monthly market rent by the subject property’s GRM</w:t>
      </w: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ab/>
        <w:t>F.</w:t>
      </w:r>
      <w:r>
        <w:rPr>
          <w:spacing w:val="-3"/>
        </w:rPr>
        <w:tab/>
        <w:t>Income approach using the URAR form—Figure 13.2</w:t>
      </w:r>
    </w:p>
    <w:p w:rsidR="003A591C" w:rsidRDefault="003A591C" w:rsidP="003A591C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Enter subject property’s monthly market rent estimate derived from         marketplace</w:t>
      </w: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Enter GRM applicable to subject</w:t>
      </w: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Multiply monthly market rent estimate by GRM, and</w:t>
      </w:r>
    </w:p>
    <w:p w:rsidR="003A591C" w:rsidRDefault="003A591C" w:rsidP="003A591C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Enter value opinion indicated by income approach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3A591C" w:rsidRDefault="003A591C" w:rsidP="003A591C">
      <w:pPr>
        <w:suppressAutoHyphens/>
        <w:rPr>
          <w:spacing w:val="-3"/>
        </w:rPr>
      </w:pPr>
    </w:p>
    <w:p w:rsidR="003A591C" w:rsidRDefault="003A591C" w:rsidP="003A591C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Review Questions</w:t>
      </w: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E5DA6"/>
    <w:multiLevelType w:val="hybridMultilevel"/>
    <w:tmpl w:val="E494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7"/>
  </w:num>
  <w:num w:numId="3">
    <w:abstractNumId w:val="48"/>
  </w:num>
  <w:num w:numId="4">
    <w:abstractNumId w:val="14"/>
  </w:num>
  <w:num w:numId="5">
    <w:abstractNumId w:val="26"/>
  </w:num>
  <w:num w:numId="6">
    <w:abstractNumId w:val="16"/>
  </w:num>
  <w:num w:numId="7">
    <w:abstractNumId w:val="4"/>
  </w:num>
  <w:num w:numId="8">
    <w:abstractNumId w:val="22"/>
  </w:num>
  <w:num w:numId="9">
    <w:abstractNumId w:val="5"/>
  </w:num>
  <w:num w:numId="10">
    <w:abstractNumId w:val="36"/>
  </w:num>
  <w:num w:numId="11">
    <w:abstractNumId w:val="24"/>
  </w:num>
  <w:num w:numId="12">
    <w:abstractNumId w:val="6"/>
  </w:num>
  <w:num w:numId="13">
    <w:abstractNumId w:val="45"/>
  </w:num>
  <w:num w:numId="14">
    <w:abstractNumId w:val="17"/>
  </w:num>
  <w:num w:numId="15">
    <w:abstractNumId w:val="34"/>
  </w:num>
  <w:num w:numId="16">
    <w:abstractNumId w:val="21"/>
  </w:num>
  <w:num w:numId="17">
    <w:abstractNumId w:val="39"/>
  </w:num>
  <w:num w:numId="18">
    <w:abstractNumId w:val="38"/>
  </w:num>
  <w:num w:numId="19">
    <w:abstractNumId w:val="3"/>
  </w:num>
  <w:num w:numId="20">
    <w:abstractNumId w:val="15"/>
  </w:num>
  <w:num w:numId="21">
    <w:abstractNumId w:val="19"/>
  </w:num>
  <w:num w:numId="22">
    <w:abstractNumId w:val="40"/>
  </w:num>
  <w:num w:numId="23">
    <w:abstractNumId w:val="1"/>
  </w:num>
  <w:num w:numId="24">
    <w:abstractNumId w:val="0"/>
  </w:num>
  <w:num w:numId="25">
    <w:abstractNumId w:val="31"/>
  </w:num>
  <w:num w:numId="26">
    <w:abstractNumId w:val="44"/>
  </w:num>
  <w:num w:numId="27">
    <w:abstractNumId w:val="12"/>
  </w:num>
  <w:num w:numId="28">
    <w:abstractNumId w:val="4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0"/>
  </w:num>
  <w:num w:numId="48">
    <w:abstractNumId w:val="46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1316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6A5A"/>
    <w:rsid w:val="003970CC"/>
    <w:rsid w:val="00397E2B"/>
    <w:rsid w:val="003A2EA2"/>
    <w:rsid w:val="003A591C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91C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591C"/>
    <w:rPr>
      <w:b/>
      <w:spacing w:val="-3"/>
      <w:sz w:val="24"/>
    </w:rPr>
  </w:style>
  <w:style w:type="paragraph" w:styleId="BodyTextIndent">
    <w:name w:val="Body Text Indent"/>
    <w:basedOn w:val="Normal"/>
    <w:link w:val="BodyTextIndentChar"/>
    <w:uiPriority w:val="99"/>
    <w:rsid w:val="003A591C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591C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3A591C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591C"/>
    <w:rPr>
      <w:spacing w:val="-3"/>
      <w:sz w:val="24"/>
    </w:rPr>
  </w:style>
  <w:style w:type="paragraph" w:styleId="Title">
    <w:name w:val="Title"/>
    <w:basedOn w:val="Normal"/>
    <w:link w:val="TitleChar"/>
    <w:uiPriority w:val="10"/>
    <w:qFormat/>
    <w:rsid w:val="003A591C"/>
    <w:pPr>
      <w:widowControl w:val="0"/>
      <w:tabs>
        <w:tab w:val="left" w:pos="-720"/>
      </w:tabs>
      <w:suppressAutoHyphens/>
      <w:snapToGrid w:val="0"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A591C"/>
    <w:rPr>
      <w:b/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3A59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59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4</cp:revision>
  <dcterms:created xsi:type="dcterms:W3CDTF">2018-05-10T21:45:00Z</dcterms:created>
  <dcterms:modified xsi:type="dcterms:W3CDTF">2018-05-11T15:16:00Z</dcterms:modified>
</cp:coreProperties>
</file>