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3F" w:rsidRDefault="001E143F" w:rsidP="001E143F">
      <w:pPr>
        <w:pStyle w:val="BodyText"/>
        <w:spacing w:after="0"/>
        <w:jc w:val="center"/>
        <w:rPr>
          <w:rFonts w:ascii="Arial" w:hAnsi="Arial" w:cs="Arial"/>
          <w:b/>
          <w:sz w:val="32"/>
          <w:szCs w:val="32"/>
        </w:rPr>
      </w:pPr>
      <w:r>
        <w:rPr>
          <w:rFonts w:ascii="Arial" w:hAnsi="Arial" w:cs="Arial"/>
          <w:b/>
          <w:sz w:val="32"/>
          <w:szCs w:val="32"/>
        </w:rPr>
        <w:t>Unit 15 Outline</w:t>
      </w:r>
    </w:p>
    <w:p w:rsidR="001E143F" w:rsidRDefault="001E143F" w:rsidP="001E143F">
      <w:pPr>
        <w:suppressAutoHyphens/>
        <w:rPr>
          <w:b/>
          <w:spacing w:val="-3"/>
        </w:rPr>
      </w:pPr>
    </w:p>
    <w:p w:rsidR="001E143F" w:rsidRDefault="001E143F" w:rsidP="001E143F">
      <w:pPr>
        <w:suppressAutoHyphens/>
        <w:rPr>
          <w:b/>
          <w:spacing w:val="-3"/>
        </w:rPr>
      </w:pPr>
    </w:p>
    <w:p w:rsidR="001E143F" w:rsidRDefault="001E143F" w:rsidP="001E143F">
      <w:pPr>
        <w:suppressAutoHyphens/>
        <w:rPr>
          <w:spacing w:val="-3"/>
        </w:rPr>
      </w:pPr>
      <w:r>
        <w:rPr>
          <w:b/>
          <w:spacing w:val="-3"/>
        </w:rPr>
        <w:t>Learning Objectives</w:t>
      </w:r>
    </w:p>
    <w:p w:rsidR="001E143F" w:rsidRDefault="001E143F" w:rsidP="001E143F">
      <w:pPr>
        <w:suppressAutoHyphens/>
        <w:rPr>
          <w:spacing w:val="-3"/>
        </w:rPr>
      </w:pPr>
    </w:p>
    <w:p w:rsidR="001E143F" w:rsidRDefault="00C63526" w:rsidP="001E143F">
      <w:pPr>
        <w:suppressAutoHyphens/>
        <w:rPr>
          <w:spacing w:val="-3"/>
        </w:rPr>
      </w:pPr>
      <w:r>
        <w:rPr>
          <w:spacing w:val="-3"/>
        </w:rPr>
        <w:t xml:space="preserve">Study of this </w:t>
      </w:r>
      <w:r w:rsidR="001E143F">
        <w:rPr>
          <w:spacing w:val="-3"/>
        </w:rPr>
        <w:t>unit should enable the student to</w:t>
      </w:r>
    </w:p>
    <w:p w:rsidR="001E143F" w:rsidRDefault="001E143F" w:rsidP="001E143F">
      <w:pPr>
        <w:widowControl w:val="0"/>
        <w:numPr>
          <w:ilvl w:val="0"/>
          <w:numId w:val="49"/>
        </w:numPr>
        <w:suppressAutoHyphens/>
        <w:snapToGrid w:val="0"/>
        <w:rPr>
          <w:b/>
          <w:spacing w:val="-3"/>
        </w:rPr>
      </w:pPr>
      <w:r>
        <w:rPr>
          <w:spacing w:val="-3"/>
        </w:rPr>
        <w:t>define the process of reconciliation;</w:t>
      </w:r>
    </w:p>
    <w:p w:rsidR="001E143F" w:rsidRDefault="001E143F" w:rsidP="001E143F">
      <w:pPr>
        <w:widowControl w:val="0"/>
        <w:numPr>
          <w:ilvl w:val="0"/>
          <w:numId w:val="49"/>
        </w:numPr>
        <w:suppressAutoHyphens/>
        <w:snapToGrid w:val="0"/>
        <w:rPr>
          <w:b/>
          <w:spacing w:val="-3"/>
        </w:rPr>
      </w:pPr>
      <w:r>
        <w:rPr>
          <w:spacing w:val="-3"/>
        </w:rPr>
        <w:t>review each appraisal approach considering the value sought and subject property;</w:t>
      </w:r>
    </w:p>
    <w:p w:rsidR="001E143F" w:rsidRDefault="001E143F" w:rsidP="001E143F">
      <w:pPr>
        <w:widowControl w:val="0"/>
        <w:numPr>
          <w:ilvl w:val="0"/>
          <w:numId w:val="49"/>
        </w:numPr>
        <w:suppressAutoHyphens/>
        <w:snapToGrid w:val="0"/>
        <w:rPr>
          <w:b/>
          <w:spacing w:val="-3"/>
        </w:rPr>
      </w:pPr>
      <w:r>
        <w:rPr>
          <w:spacing w:val="-3"/>
        </w:rPr>
        <w:t>analyze data collected for each of the approaches used to reach a final opinion of value;</w:t>
      </w:r>
    </w:p>
    <w:p w:rsidR="001E143F" w:rsidRDefault="001E143F" w:rsidP="001E143F">
      <w:pPr>
        <w:widowControl w:val="0"/>
        <w:numPr>
          <w:ilvl w:val="0"/>
          <w:numId w:val="49"/>
        </w:numPr>
        <w:suppressAutoHyphens/>
        <w:snapToGrid w:val="0"/>
        <w:rPr>
          <w:b/>
          <w:spacing w:val="-3"/>
        </w:rPr>
      </w:pPr>
      <w:r>
        <w:rPr>
          <w:spacing w:val="-3"/>
        </w:rPr>
        <w:t xml:space="preserve">describe the two types of appraisal reports permitted by </w:t>
      </w:r>
      <w:r>
        <w:rPr>
          <w:i/>
          <w:spacing w:val="-3"/>
        </w:rPr>
        <w:t>USPAP</w:t>
      </w:r>
      <w:r>
        <w:rPr>
          <w:spacing w:val="-3"/>
        </w:rPr>
        <w:t>;</w:t>
      </w:r>
    </w:p>
    <w:p w:rsidR="001E143F" w:rsidRDefault="001E143F" w:rsidP="001E143F">
      <w:pPr>
        <w:widowControl w:val="0"/>
        <w:numPr>
          <w:ilvl w:val="0"/>
          <w:numId w:val="49"/>
        </w:numPr>
        <w:suppressAutoHyphens/>
        <w:snapToGrid w:val="0"/>
        <w:rPr>
          <w:b/>
          <w:spacing w:val="-3"/>
        </w:rPr>
      </w:pPr>
      <w:r>
        <w:rPr>
          <w:spacing w:val="-3"/>
        </w:rPr>
        <w:t>explain the uses of the form appraisal report and the narrative appraisal report;</w:t>
      </w:r>
    </w:p>
    <w:p w:rsidR="001E143F" w:rsidRDefault="001E143F" w:rsidP="001E143F">
      <w:pPr>
        <w:widowControl w:val="0"/>
        <w:numPr>
          <w:ilvl w:val="0"/>
          <w:numId w:val="49"/>
        </w:numPr>
        <w:suppressAutoHyphens/>
        <w:snapToGrid w:val="0"/>
        <w:rPr>
          <w:b/>
          <w:spacing w:val="-3"/>
        </w:rPr>
      </w:pPr>
      <w:r>
        <w:rPr>
          <w:spacing w:val="-3"/>
        </w:rPr>
        <w:t>state the purpose of Fannie Mae Form 2075; and</w:t>
      </w:r>
    </w:p>
    <w:p w:rsidR="001E143F" w:rsidRDefault="001E143F" w:rsidP="001E143F">
      <w:pPr>
        <w:widowControl w:val="0"/>
        <w:numPr>
          <w:ilvl w:val="0"/>
          <w:numId w:val="49"/>
        </w:numPr>
        <w:suppressAutoHyphens/>
        <w:snapToGrid w:val="0"/>
        <w:rPr>
          <w:b/>
          <w:spacing w:val="-3"/>
        </w:rPr>
      </w:pPr>
      <w:proofErr w:type="gramStart"/>
      <w:r>
        <w:rPr>
          <w:spacing w:val="-3"/>
        </w:rPr>
        <w:t>work</w:t>
      </w:r>
      <w:proofErr w:type="gramEnd"/>
      <w:r>
        <w:rPr>
          <w:spacing w:val="-3"/>
        </w:rPr>
        <w:t xml:space="preserve"> through an appraisal using the URAR form. </w:t>
      </w:r>
    </w:p>
    <w:p w:rsidR="001E143F" w:rsidRDefault="001E143F" w:rsidP="001E143F">
      <w:pPr>
        <w:suppressAutoHyphens/>
        <w:rPr>
          <w:b/>
          <w:spacing w:val="-3"/>
        </w:rPr>
      </w:pPr>
    </w:p>
    <w:p w:rsidR="001E143F" w:rsidRDefault="001E143F" w:rsidP="001E143F">
      <w:pPr>
        <w:suppressAutoHyphens/>
        <w:rPr>
          <w:spacing w:val="-3"/>
        </w:rPr>
      </w:pPr>
    </w:p>
    <w:p w:rsidR="001E143F" w:rsidRDefault="001E143F" w:rsidP="001E143F">
      <w:pPr>
        <w:suppressAutoHyphens/>
        <w:rPr>
          <w:spacing w:val="-3"/>
        </w:rPr>
      </w:pPr>
      <w:r>
        <w:rPr>
          <w:b/>
          <w:spacing w:val="-3"/>
        </w:rPr>
        <w:t xml:space="preserve"> Unit Outline</w:t>
      </w:r>
    </w:p>
    <w:p w:rsidR="001E143F" w:rsidRDefault="001E143F" w:rsidP="001E143F">
      <w:pPr>
        <w:suppressAutoHyphens/>
        <w:rPr>
          <w:spacing w:val="-3"/>
        </w:rPr>
      </w:pPr>
    </w:p>
    <w:p w:rsidR="001E143F" w:rsidRDefault="001E143F" w:rsidP="001E143F">
      <w:pPr>
        <w:suppressAutoHyphens/>
        <w:rPr>
          <w:spacing w:val="-3"/>
        </w:rPr>
      </w:pPr>
      <w:r>
        <w:rPr>
          <w:spacing w:val="-3"/>
        </w:rPr>
        <w:t>I.</w:t>
      </w:r>
      <w:r>
        <w:rPr>
          <w:spacing w:val="-3"/>
        </w:rPr>
        <w:tab/>
        <w:t>Overview</w:t>
      </w:r>
    </w:p>
    <w:p w:rsidR="001E143F" w:rsidRDefault="001E143F" w:rsidP="001E143F">
      <w:pPr>
        <w:suppressAutoHyphens/>
        <w:jc w:val="center"/>
        <w:rPr>
          <w:spacing w:val="-3"/>
        </w:rPr>
      </w:pPr>
    </w:p>
    <w:p w:rsidR="001E143F" w:rsidRDefault="001E143F" w:rsidP="001E143F">
      <w:pPr>
        <w:suppressAutoHyphens/>
        <w:ind w:left="720" w:hanging="720"/>
        <w:rPr>
          <w:spacing w:val="-3"/>
        </w:rPr>
      </w:pPr>
      <w:r>
        <w:rPr>
          <w:spacing w:val="-3"/>
        </w:rPr>
        <w:t>II.</w:t>
      </w:r>
      <w:r>
        <w:rPr>
          <w:spacing w:val="-3"/>
        </w:rPr>
        <w:tab/>
        <w:t>Definition of Reconciliation—objective weighing of the methods and results of each appraisal approach used to arrive at the single best and most supportable conclusion of value—also called correlation</w:t>
      </w:r>
    </w:p>
    <w:p w:rsidR="001E143F" w:rsidRDefault="001E143F" w:rsidP="001E143F">
      <w:pPr>
        <w:suppressAutoHyphens/>
        <w:ind w:left="1440" w:hanging="720"/>
        <w:rPr>
          <w:spacing w:val="-3"/>
        </w:rPr>
      </w:pPr>
      <w:r>
        <w:rPr>
          <w:spacing w:val="-3"/>
        </w:rPr>
        <w:t>A.</w:t>
      </w:r>
      <w:r>
        <w:rPr>
          <w:spacing w:val="-3"/>
        </w:rPr>
        <w:tab/>
      </w:r>
      <w:proofErr w:type="gramStart"/>
      <w:r>
        <w:rPr>
          <w:spacing w:val="-3"/>
        </w:rPr>
        <w:t>The</w:t>
      </w:r>
      <w:proofErr w:type="gramEnd"/>
      <w:r>
        <w:rPr>
          <w:spacing w:val="-3"/>
        </w:rPr>
        <w:t xml:space="preserve"> Process of Reconciliation—not every approach may be appropriate                  for every property; factors to be considered are</w:t>
      </w:r>
    </w:p>
    <w:p w:rsidR="001E143F" w:rsidRDefault="001E143F" w:rsidP="001E143F">
      <w:pPr>
        <w:suppressAutoHyphens/>
        <w:ind w:left="720" w:firstLine="720"/>
        <w:rPr>
          <w:spacing w:val="-3"/>
        </w:rPr>
      </w:pPr>
      <w:r>
        <w:rPr>
          <w:spacing w:val="-3"/>
        </w:rPr>
        <w:t>1.</w:t>
      </w:r>
      <w:r>
        <w:rPr>
          <w:spacing w:val="-3"/>
        </w:rPr>
        <w:tab/>
        <w:t>Definition of value sought</w:t>
      </w:r>
    </w:p>
    <w:p w:rsidR="001E143F" w:rsidRDefault="001E143F" w:rsidP="001E143F">
      <w:pPr>
        <w:suppressAutoHyphens/>
        <w:ind w:left="720" w:firstLine="720"/>
        <w:rPr>
          <w:spacing w:val="-3"/>
        </w:rPr>
      </w:pPr>
      <w:r>
        <w:rPr>
          <w:spacing w:val="-3"/>
        </w:rPr>
        <w:t>2.</w:t>
      </w:r>
      <w:r>
        <w:rPr>
          <w:spacing w:val="-3"/>
        </w:rPr>
        <w:tab/>
        <w:t>Amount and reliability of data collected in each approach</w:t>
      </w:r>
    </w:p>
    <w:p w:rsidR="001E143F" w:rsidRDefault="001E143F" w:rsidP="001E143F">
      <w:pPr>
        <w:suppressAutoHyphens/>
        <w:ind w:left="720" w:firstLine="720"/>
        <w:rPr>
          <w:spacing w:val="-3"/>
        </w:rPr>
      </w:pPr>
      <w:r>
        <w:rPr>
          <w:spacing w:val="-3"/>
        </w:rPr>
        <w:t>3.</w:t>
      </w:r>
      <w:r>
        <w:rPr>
          <w:spacing w:val="-3"/>
        </w:rPr>
        <w:tab/>
        <w:t>Inherent strengths and weaknesses of each approach</w:t>
      </w:r>
    </w:p>
    <w:p w:rsidR="001E143F" w:rsidRDefault="001E143F" w:rsidP="001E143F">
      <w:pPr>
        <w:suppressAutoHyphens/>
        <w:ind w:left="720" w:firstLine="720"/>
        <w:rPr>
          <w:spacing w:val="-3"/>
        </w:rPr>
      </w:pPr>
      <w:r>
        <w:rPr>
          <w:spacing w:val="-3"/>
        </w:rPr>
        <w:t>4.</w:t>
      </w:r>
      <w:r>
        <w:rPr>
          <w:spacing w:val="-3"/>
        </w:rPr>
        <w:tab/>
        <w:t>Relevance of each approach to the subject property and market behavior</w:t>
      </w:r>
    </w:p>
    <w:p w:rsidR="001E143F" w:rsidRDefault="001E143F" w:rsidP="001E143F">
      <w:pPr>
        <w:pStyle w:val="Heading2"/>
        <w:rPr>
          <w:szCs w:val="24"/>
        </w:rPr>
      </w:pPr>
    </w:p>
    <w:p w:rsidR="001E143F" w:rsidRDefault="001E143F" w:rsidP="001E143F">
      <w:pPr>
        <w:pStyle w:val="Heading2"/>
        <w:rPr>
          <w:szCs w:val="24"/>
        </w:rPr>
      </w:pPr>
      <w:r>
        <w:rPr>
          <w:szCs w:val="24"/>
        </w:rPr>
        <w:t>Exercise 15-1</w:t>
      </w:r>
    </w:p>
    <w:p w:rsidR="001E143F" w:rsidRDefault="001E143F" w:rsidP="001E143F"/>
    <w:p w:rsidR="001E143F" w:rsidRDefault="001E143F" w:rsidP="001E143F">
      <w:pPr>
        <w:suppressAutoHyphens/>
        <w:ind w:left="1440" w:hanging="720"/>
        <w:rPr>
          <w:spacing w:val="-3"/>
        </w:rPr>
      </w:pPr>
      <w:r>
        <w:rPr>
          <w:spacing w:val="-3"/>
        </w:rPr>
        <w:t>B.</w:t>
      </w:r>
      <w:r>
        <w:rPr>
          <w:spacing w:val="-3"/>
        </w:rPr>
        <w:tab/>
        <w:t xml:space="preserve">Review of the Three Approaches—sales comparison, cost and income capitalization or, if used, the gross income/rent method—to substantiate the accuracy and consistency of all data </w:t>
      </w:r>
    </w:p>
    <w:p w:rsidR="001E143F" w:rsidRDefault="001E143F" w:rsidP="001E143F">
      <w:pPr>
        <w:suppressAutoHyphens/>
        <w:ind w:left="720" w:firstLine="720"/>
        <w:rPr>
          <w:spacing w:val="-3"/>
        </w:rPr>
      </w:pPr>
    </w:p>
    <w:p w:rsidR="001E143F" w:rsidRDefault="001E143F" w:rsidP="001E143F">
      <w:pPr>
        <w:pStyle w:val="BodyTextIndent2"/>
        <w:ind w:left="2160"/>
        <w:rPr>
          <w:szCs w:val="24"/>
        </w:rPr>
      </w:pPr>
      <w:r>
        <w:rPr>
          <w:szCs w:val="24"/>
        </w:rPr>
        <w:t xml:space="preserve"> </w:t>
      </w:r>
    </w:p>
    <w:p w:rsidR="001E143F" w:rsidRDefault="001E143F" w:rsidP="001E143F">
      <w:pPr>
        <w:pStyle w:val="BodyTextIndent3"/>
        <w:spacing w:after="0"/>
        <w:ind w:left="1440" w:hanging="720"/>
        <w:rPr>
          <w:sz w:val="24"/>
          <w:szCs w:val="24"/>
        </w:rPr>
      </w:pPr>
      <w:r>
        <w:rPr>
          <w:sz w:val="24"/>
          <w:szCs w:val="24"/>
        </w:rPr>
        <w:t>C.</w:t>
      </w:r>
      <w:r>
        <w:rPr>
          <w:sz w:val="24"/>
          <w:szCs w:val="24"/>
        </w:rPr>
        <w:tab/>
        <w:t>Weighing the Choices—deciding which of the three approaches is the most reliable, in terms of the value sought, for the subject property</w:t>
      </w:r>
    </w:p>
    <w:p w:rsidR="001E143F" w:rsidRDefault="001E143F" w:rsidP="001E143F">
      <w:pPr>
        <w:pStyle w:val="Heading2"/>
        <w:rPr>
          <w:szCs w:val="24"/>
        </w:rPr>
      </w:pPr>
    </w:p>
    <w:p w:rsidR="001E143F" w:rsidRDefault="001E143F" w:rsidP="001E143F">
      <w:pPr>
        <w:pStyle w:val="Heading2"/>
        <w:rPr>
          <w:szCs w:val="24"/>
        </w:rPr>
      </w:pPr>
      <w:r>
        <w:rPr>
          <w:szCs w:val="24"/>
        </w:rPr>
        <w:t>Exercise 15-2</w:t>
      </w:r>
    </w:p>
    <w:p w:rsidR="001E143F" w:rsidRDefault="001E143F" w:rsidP="001E143F">
      <w:pPr>
        <w:suppressAutoHyphens/>
        <w:rPr>
          <w:spacing w:val="-3"/>
        </w:rPr>
      </w:pPr>
    </w:p>
    <w:p w:rsidR="001E143F" w:rsidRDefault="001E143F" w:rsidP="001E143F">
      <w:pPr>
        <w:suppressAutoHyphens/>
        <w:rPr>
          <w:spacing w:val="-3"/>
        </w:rPr>
      </w:pPr>
      <w:r>
        <w:rPr>
          <w:spacing w:val="-3"/>
        </w:rPr>
        <w:t>III.</w:t>
      </w:r>
      <w:r>
        <w:rPr>
          <w:spacing w:val="-3"/>
        </w:rPr>
        <w:tab/>
        <w:t>Reconciliation Is Not...</w:t>
      </w:r>
    </w:p>
    <w:p w:rsidR="001E143F" w:rsidRDefault="001E143F" w:rsidP="001E143F">
      <w:pPr>
        <w:suppressAutoHyphens/>
        <w:ind w:left="1440" w:hanging="720"/>
        <w:rPr>
          <w:spacing w:val="-3"/>
        </w:rPr>
      </w:pPr>
      <w:r>
        <w:rPr>
          <w:spacing w:val="-3"/>
        </w:rPr>
        <w:t>A.</w:t>
      </w:r>
      <w:r>
        <w:rPr>
          <w:spacing w:val="-3"/>
        </w:rPr>
        <w:tab/>
        <w:t>Reconciliation is not merely the correction of errors or the averaging of the opinions reached by each of the appraisal approaches, but the final statement of reasoning and weighing of facts, results and conclusions that culminates in a fully justified final opinion of value</w:t>
      </w:r>
    </w:p>
    <w:p w:rsidR="001E143F" w:rsidRDefault="001E143F" w:rsidP="001E143F">
      <w:pPr>
        <w:suppressAutoHyphens/>
        <w:ind w:left="1440" w:hanging="720"/>
        <w:rPr>
          <w:spacing w:val="-3"/>
        </w:rPr>
      </w:pPr>
      <w:r>
        <w:rPr>
          <w:spacing w:val="-3"/>
        </w:rPr>
        <w:lastRenderedPageBreak/>
        <w:t>B.</w:t>
      </w:r>
      <w:r>
        <w:rPr>
          <w:spacing w:val="-3"/>
        </w:rPr>
        <w:tab/>
        <w:t>Weighted Average (Mean)—each value is assigned a percentage factor based on its importance</w:t>
      </w:r>
    </w:p>
    <w:p w:rsidR="001E143F" w:rsidRDefault="001E143F" w:rsidP="001E143F">
      <w:pPr>
        <w:suppressAutoHyphens/>
        <w:ind w:left="1440" w:hanging="720"/>
        <w:rPr>
          <w:spacing w:val="-3"/>
        </w:rPr>
      </w:pPr>
    </w:p>
    <w:p w:rsidR="001E143F" w:rsidRDefault="001E143F" w:rsidP="001E143F">
      <w:pPr>
        <w:suppressAutoHyphens/>
        <w:rPr>
          <w:spacing w:val="-3"/>
        </w:rPr>
      </w:pPr>
      <w:r>
        <w:rPr>
          <w:spacing w:val="-3"/>
        </w:rPr>
        <w:t>IV.</w:t>
      </w:r>
      <w:r>
        <w:rPr>
          <w:spacing w:val="-3"/>
        </w:rPr>
        <w:tab/>
        <w:t xml:space="preserve">Types of Appraisal Reports—at present, </w:t>
      </w:r>
      <w:r>
        <w:rPr>
          <w:i/>
          <w:spacing w:val="-3"/>
        </w:rPr>
        <w:t>USPAP</w:t>
      </w:r>
      <w:r>
        <w:rPr>
          <w:spacing w:val="-3"/>
        </w:rPr>
        <w:t xml:space="preserve"> permits two types of appraisal reports</w:t>
      </w:r>
    </w:p>
    <w:p w:rsidR="001E143F" w:rsidRDefault="001E143F" w:rsidP="001E143F">
      <w:pPr>
        <w:suppressAutoHyphens/>
        <w:ind w:left="1440" w:hanging="720"/>
        <w:rPr>
          <w:spacing w:val="-3"/>
        </w:rPr>
      </w:pPr>
      <w:r>
        <w:rPr>
          <w:spacing w:val="-3"/>
        </w:rPr>
        <w:t>A.</w:t>
      </w:r>
      <w:r>
        <w:rPr>
          <w:spacing w:val="-3"/>
        </w:rPr>
        <w:tab/>
        <w:t>Appraisal report—presents the highlights of the report, but must contain enough information to lead the client to the appraiser's conclusion</w:t>
      </w:r>
    </w:p>
    <w:p w:rsidR="001E143F" w:rsidRDefault="00C63526" w:rsidP="001E143F">
      <w:pPr>
        <w:pStyle w:val="BodyTextIndent3"/>
        <w:spacing w:after="0"/>
        <w:ind w:left="1440" w:hanging="720"/>
        <w:rPr>
          <w:spacing w:val="-3"/>
          <w:sz w:val="24"/>
          <w:szCs w:val="24"/>
        </w:rPr>
      </w:pPr>
      <w:r>
        <w:rPr>
          <w:sz w:val="24"/>
          <w:szCs w:val="24"/>
        </w:rPr>
        <w:t>B.</w:t>
      </w:r>
      <w:r>
        <w:rPr>
          <w:sz w:val="24"/>
          <w:szCs w:val="24"/>
        </w:rPr>
        <w:tab/>
        <w:t xml:space="preserve">Restricted </w:t>
      </w:r>
      <w:bookmarkStart w:id="0" w:name="_GoBack"/>
      <w:bookmarkEnd w:id="0"/>
      <w:r w:rsidR="001E143F">
        <w:rPr>
          <w:sz w:val="24"/>
          <w:szCs w:val="24"/>
        </w:rPr>
        <w:t>report—provides required information only—the client is the only intended user</w:t>
      </w:r>
    </w:p>
    <w:p w:rsidR="001E143F" w:rsidRDefault="001E143F" w:rsidP="001E143F">
      <w:pPr>
        <w:suppressAutoHyphens/>
        <w:ind w:left="1440" w:hanging="720"/>
        <w:rPr>
          <w:spacing w:val="-3"/>
        </w:rPr>
      </w:pPr>
      <w:r>
        <w:rPr>
          <w:spacing w:val="-3"/>
        </w:rPr>
        <w:t>C.</w:t>
      </w:r>
      <w:r>
        <w:rPr>
          <w:spacing w:val="-3"/>
        </w:rPr>
        <w:tab/>
        <w:t xml:space="preserve">USPAP requires that each appraisal report  </w:t>
      </w:r>
    </w:p>
    <w:p w:rsidR="001E143F" w:rsidRDefault="001E143F" w:rsidP="001E143F">
      <w:pPr>
        <w:suppressAutoHyphens/>
        <w:ind w:left="2160" w:hanging="720"/>
        <w:rPr>
          <w:spacing w:val="-3"/>
        </w:rPr>
      </w:pPr>
      <w:r>
        <w:rPr>
          <w:spacing w:val="-3"/>
        </w:rPr>
        <w:t>1.</w:t>
      </w:r>
      <w:r>
        <w:rPr>
          <w:spacing w:val="-3"/>
        </w:rPr>
        <w:tab/>
        <w:t xml:space="preserve">Makes certain that the information presented in the report is not misleading to its users </w:t>
      </w:r>
    </w:p>
    <w:p w:rsidR="001E143F" w:rsidRDefault="001E143F" w:rsidP="001E143F">
      <w:pPr>
        <w:suppressAutoHyphens/>
        <w:ind w:left="2160" w:hanging="720"/>
        <w:rPr>
          <w:spacing w:val="-3"/>
        </w:rPr>
      </w:pPr>
      <w:r>
        <w:rPr>
          <w:spacing w:val="-3"/>
        </w:rPr>
        <w:t>2.</w:t>
      </w:r>
      <w:r>
        <w:rPr>
          <w:spacing w:val="-3"/>
        </w:rPr>
        <w:tab/>
      </w:r>
      <w:proofErr w:type="gramStart"/>
      <w:r>
        <w:rPr>
          <w:spacing w:val="-3"/>
        </w:rPr>
        <w:t>Contains</w:t>
      </w:r>
      <w:proofErr w:type="gramEnd"/>
      <w:r>
        <w:rPr>
          <w:spacing w:val="-3"/>
        </w:rPr>
        <w:t xml:space="preserve"> sufficient information so that the intended users clearly understand the report</w:t>
      </w:r>
    </w:p>
    <w:p w:rsidR="001E143F" w:rsidRDefault="001E143F" w:rsidP="001E143F">
      <w:pPr>
        <w:suppressAutoHyphens/>
        <w:ind w:left="2160" w:hanging="720"/>
        <w:rPr>
          <w:spacing w:val="-3"/>
        </w:rPr>
      </w:pPr>
      <w:r>
        <w:rPr>
          <w:spacing w:val="-3"/>
        </w:rPr>
        <w:t>3.</w:t>
      </w:r>
      <w:r>
        <w:rPr>
          <w:spacing w:val="-3"/>
        </w:rPr>
        <w:tab/>
        <w:t xml:space="preserve">Must clearly and accurately disclose all assumptions, hypothetical conditions, and limiting conditions that are used in the assignment </w:t>
      </w:r>
    </w:p>
    <w:p w:rsidR="001E143F" w:rsidRDefault="001E143F" w:rsidP="001E143F">
      <w:pPr>
        <w:suppressAutoHyphens/>
        <w:rPr>
          <w:spacing w:val="-3"/>
        </w:rPr>
      </w:pPr>
    </w:p>
    <w:p w:rsidR="001E143F" w:rsidRDefault="001E143F" w:rsidP="001E143F">
      <w:pPr>
        <w:suppressAutoHyphens/>
        <w:rPr>
          <w:spacing w:val="-3"/>
        </w:rPr>
      </w:pPr>
      <w:r>
        <w:rPr>
          <w:spacing w:val="-3"/>
        </w:rPr>
        <w:t>V.</w:t>
      </w:r>
      <w:r>
        <w:rPr>
          <w:spacing w:val="-3"/>
        </w:rPr>
        <w:tab/>
        <w:t>Styles of Written Appraisal Reports</w:t>
      </w:r>
    </w:p>
    <w:p w:rsidR="001E143F" w:rsidRDefault="001E143F" w:rsidP="001E143F">
      <w:pPr>
        <w:pStyle w:val="BodyTextIndent3"/>
        <w:spacing w:after="0"/>
        <w:ind w:left="1440" w:hanging="720"/>
        <w:rPr>
          <w:spacing w:val="-3"/>
          <w:sz w:val="24"/>
          <w:szCs w:val="24"/>
        </w:rPr>
      </w:pPr>
      <w:r>
        <w:rPr>
          <w:sz w:val="24"/>
          <w:szCs w:val="24"/>
        </w:rPr>
        <w:t>A.</w:t>
      </w:r>
      <w:r>
        <w:rPr>
          <w:sz w:val="24"/>
          <w:szCs w:val="24"/>
        </w:rPr>
        <w:tab/>
        <w:t>Form Report—used by agencies such as the FHA, Fannie Mae, lending institutions and others for routine property appraisals (Figure 15.1)</w:t>
      </w:r>
    </w:p>
    <w:p w:rsidR="001E143F" w:rsidRDefault="001E143F" w:rsidP="001E143F">
      <w:pPr>
        <w:suppressAutoHyphens/>
        <w:ind w:left="720" w:firstLine="720"/>
        <w:rPr>
          <w:spacing w:val="-3"/>
        </w:rPr>
      </w:pPr>
      <w:r>
        <w:rPr>
          <w:spacing w:val="-3"/>
        </w:rPr>
        <w:t>1.</w:t>
      </w:r>
      <w:r>
        <w:rPr>
          <w:spacing w:val="-3"/>
        </w:rPr>
        <w:tab/>
        <w:t>Can be designed for a particular type of property or appraisal</w:t>
      </w:r>
    </w:p>
    <w:p w:rsidR="001E143F" w:rsidRDefault="001E143F" w:rsidP="001E143F">
      <w:pPr>
        <w:suppressAutoHyphens/>
        <w:ind w:left="720" w:firstLine="720"/>
        <w:rPr>
          <w:spacing w:val="-3"/>
        </w:rPr>
      </w:pPr>
      <w:r>
        <w:rPr>
          <w:spacing w:val="-3"/>
        </w:rPr>
        <w:t>2.</w:t>
      </w:r>
      <w:r>
        <w:rPr>
          <w:spacing w:val="-3"/>
        </w:rPr>
        <w:tab/>
        <w:t>Efficient and time-saving method of consolidating data</w:t>
      </w:r>
    </w:p>
    <w:p w:rsidR="001E143F" w:rsidRDefault="001E143F" w:rsidP="001E143F">
      <w:pPr>
        <w:suppressAutoHyphens/>
        <w:ind w:left="1440" w:hanging="720"/>
        <w:rPr>
          <w:spacing w:val="-3"/>
        </w:rPr>
      </w:pPr>
      <w:r>
        <w:rPr>
          <w:spacing w:val="-3"/>
        </w:rPr>
        <w:t>B.</w:t>
      </w:r>
      <w:r>
        <w:rPr>
          <w:spacing w:val="-3"/>
        </w:rPr>
        <w:tab/>
        <w:t xml:space="preserve">Narrative Report—presents appraiser's reasoning as well as the facts behind the final opinion of value </w:t>
      </w:r>
    </w:p>
    <w:p w:rsidR="001E143F" w:rsidRDefault="001E143F" w:rsidP="001E143F">
      <w:pPr>
        <w:suppressAutoHyphens/>
        <w:ind w:left="720" w:firstLine="720"/>
        <w:rPr>
          <w:spacing w:val="-3"/>
        </w:rPr>
      </w:pPr>
      <w:r>
        <w:rPr>
          <w:spacing w:val="-3"/>
        </w:rPr>
        <w:t>1.</w:t>
      </w:r>
      <w:r>
        <w:rPr>
          <w:spacing w:val="-3"/>
        </w:rPr>
        <w:tab/>
        <w:t>Introduction</w:t>
      </w:r>
    </w:p>
    <w:p w:rsidR="001E143F" w:rsidRDefault="001E143F" w:rsidP="001E143F">
      <w:pPr>
        <w:suppressAutoHyphens/>
        <w:ind w:left="1440" w:firstLine="720"/>
        <w:rPr>
          <w:spacing w:val="-3"/>
        </w:rPr>
      </w:pPr>
      <w:r>
        <w:rPr>
          <w:spacing w:val="-3"/>
        </w:rPr>
        <w:t>a.</w:t>
      </w:r>
      <w:r>
        <w:rPr>
          <w:spacing w:val="-3"/>
        </w:rPr>
        <w:tab/>
        <w:t>Title page</w:t>
      </w:r>
    </w:p>
    <w:p w:rsidR="001E143F" w:rsidRDefault="001E143F" w:rsidP="001E143F">
      <w:pPr>
        <w:suppressAutoHyphens/>
        <w:ind w:left="1440" w:firstLine="720"/>
        <w:rPr>
          <w:spacing w:val="-3"/>
        </w:rPr>
      </w:pPr>
      <w:r>
        <w:rPr>
          <w:spacing w:val="-3"/>
        </w:rPr>
        <w:t>b.</w:t>
      </w:r>
      <w:r>
        <w:rPr>
          <w:spacing w:val="-3"/>
        </w:rPr>
        <w:tab/>
        <w:t>Letter of transmittal</w:t>
      </w:r>
    </w:p>
    <w:p w:rsidR="001E143F" w:rsidRDefault="001E143F" w:rsidP="001E143F">
      <w:pPr>
        <w:suppressAutoHyphens/>
        <w:ind w:left="1440" w:firstLine="720"/>
        <w:rPr>
          <w:spacing w:val="-3"/>
        </w:rPr>
      </w:pPr>
      <w:r>
        <w:rPr>
          <w:spacing w:val="-3"/>
        </w:rPr>
        <w:t>c.</w:t>
      </w:r>
      <w:r>
        <w:rPr>
          <w:spacing w:val="-3"/>
        </w:rPr>
        <w:tab/>
        <w:t>Table of contents</w:t>
      </w:r>
    </w:p>
    <w:p w:rsidR="001E143F" w:rsidRDefault="001E143F" w:rsidP="001E143F">
      <w:pPr>
        <w:suppressAutoHyphens/>
        <w:ind w:left="1440" w:firstLine="720"/>
        <w:rPr>
          <w:spacing w:val="-3"/>
        </w:rPr>
      </w:pPr>
      <w:r>
        <w:rPr>
          <w:spacing w:val="-3"/>
        </w:rPr>
        <w:t>d.</w:t>
      </w:r>
      <w:r>
        <w:rPr>
          <w:spacing w:val="-3"/>
        </w:rPr>
        <w:tab/>
        <w:t>Summary of important facts and conclusions</w:t>
      </w:r>
    </w:p>
    <w:p w:rsidR="001E143F" w:rsidRDefault="001E143F" w:rsidP="001E143F">
      <w:pPr>
        <w:suppressAutoHyphens/>
        <w:ind w:left="720" w:firstLine="720"/>
        <w:rPr>
          <w:spacing w:val="-3"/>
        </w:rPr>
      </w:pPr>
      <w:r>
        <w:rPr>
          <w:spacing w:val="-3"/>
        </w:rPr>
        <w:t>2.</w:t>
      </w:r>
      <w:r>
        <w:rPr>
          <w:spacing w:val="-3"/>
        </w:rPr>
        <w:tab/>
        <w:t>Suppositions of the Appraisal</w:t>
      </w:r>
    </w:p>
    <w:p w:rsidR="001E143F" w:rsidRDefault="001E143F" w:rsidP="001E143F">
      <w:pPr>
        <w:suppressAutoHyphens/>
        <w:ind w:left="1440" w:firstLine="720"/>
        <w:rPr>
          <w:spacing w:val="-3"/>
        </w:rPr>
      </w:pPr>
      <w:r>
        <w:rPr>
          <w:spacing w:val="-3"/>
        </w:rPr>
        <w:t>a.</w:t>
      </w:r>
      <w:r>
        <w:rPr>
          <w:spacing w:val="-3"/>
        </w:rPr>
        <w:tab/>
        <w:t>Type of appraisal and report format</w:t>
      </w:r>
    </w:p>
    <w:p w:rsidR="001E143F" w:rsidRDefault="001E143F" w:rsidP="001E143F">
      <w:pPr>
        <w:suppressAutoHyphens/>
        <w:ind w:left="1440" w:firstLine="720"/>
        <w:rPr>
          <w:spacing w:val="-3"/>
        </w:rPr>
      </w:pPr>
      <w:r>
        <w:rPr>
          <w:spacing w:val="-3"/>
        </w:rPr>
        <w:t>b.</w:t>
      </w:r>
      <w:r>
        <w:rPr>
          <w:spacing w:val="-3"/>
        </w:rPr>
        <w:tab/>
        <w:t>Purpose of the appraisal</w:t>
      </w:r>
    </w:p>
    <w:p w:rsidR="001E143F" w:rsidRDefault="001E143F" w:rsidP="001E143F">
      <w:pPr>
        <w:suppressAutoHyphens/>
        <w:ind w:left="1440" w:firstLine="720"/>
        <w:rPr>
          <w:spacing w:val="-3"/>
        </w:rPr>
      </w:pPr>
      <w:r>
        <w:rPr>
          <w:spacing w:val="-3"/>
        </w:rPr>
        <w:t>c.</w:t>
      </w:r>
      <w:r>
        <w:rPr>
          <w:spacing w:val="-3"/>
        </w:rPr>
        <w:tab/>
        <w:t>Definition of value</w:t>
      </w:r>
    </w:p>
    <w:p w:rsidR="001E143F" w:rsidRDefault="001E143F" w:rsidP="001E143F">
      <w:pPr>
        <w:suppressAutoHyphens/>
        <w:ind w:left="1440" w:firstLine="720"/>
        <w:rPr>
          <w:spacing w:val="-3"/>
        </w:rPr>
      </w:pPr>
      <w:r>
        <w:rPr>
          <w:spacing w:val="-3"/>
        </w:rPr>
        <w:t>d.</w:t>
      </w:r>
      <w:r>
        <w:rPr>
          <w:spacing w:val="-3"/>
        </w:rPr>
        <w:tab/>
        <w:t xml:space="preserve">Date of opinion of value </w:t>
      </w:r>
    </w:p>
    <w:p w:rsidR="001E143F" w:rsidRDefault="001E143F" w:rsidP="001E143F">
      <w:pPr>
        <w:suppressAutoHyphens/>
        <w:ind w:left="1440" w:firstLine="720"/>
        <w:rPr>
          <w:spacing w:val="-3"/>
        </w:rPr>
      </w:pPr>
      <w:r>
        <w:rPr>
          <w:spacing w:val="-3"/>
        </w:rPr>
        <w:t>e.</w:t>
      </w:r>
      <w:r>
        <w:rPr>
          <w:spacing w:val="-3"/>
        </w:rPr>
        <w:tab/>
        <w:t>Property rights</w:t>
      </w:r>
    </w:p>
    <w:p w:rsidR="001E143F" w:rsidRDefault="001E143F" w:rsidP="001E143F">
      <w:pPr>
        <w:suppressAutoHyphens/>
        <w:ind w:left="1440" w:firstLine="720"/>
        <w:rPr>
          <w:spacing w:val="-3"/>
        </w:rPr>
      </w:pPr>
      <w:r>
        <w:rPr>
          <w:spacing w:val="-3"/>
        </w:rPr>
        <w:t>f.</w:t>
      </w:r>
      <w:r>
        <w:rPr>
          <w:spacing w:val="-3"/>
        </w:rPr>
        <w:tab/>
        <w:t>Statement of assumptions and limiting conditions</w:t>
      </w:r>
    </w:p>
    <w:p w:rsidR="001E143F" w:rsidRDefault="001E143F" w:rsidP="001E143F">
      <w:pPr>
        <w:suppressAutoHyphens/>
        <w:ind w:left="720" w:firstLine="720"/>
        <w:rPr>
          <w:spacing w:val="-3"/>
        </w:rPr>
      </w:pPr>
      <w:r>
        <w:rPr>
          <w:spacing w:val="-3"/>
        </w:rPr>
        <w:t>3.</w:t>
      </w:r>
      <w:r>
        <w:rPr>
          <w:spacing w:val="-3"/>
        </w:rPr>
        <w:tab/>
        <w:t>Presentation of Data</w:t>
      </w:r>
    </w:p>
    <w:p w:rsidR="001E143F" w:rsidRDefault="001E143F" w:rsidP="001E143F">
      <w:pPr>
        <w:suppressAutoHyphens/>
        <w:ind w:left="1440" w:firstLine="720"/>
        <w:rPr>
          <w:spacing w:val="-3"/>
        </w:rPr>
      </w:pPr>
      <w:r>
        <w:rPr>
          <w:spacing w:val="-3"/>
        </w:rPr>
        <w:t>a.</w:t>
      </w:r>
      <w:r>
        <w:rPr>
          <w:spacing w:val="-3"/>
        </w:rPr>
        <w:tab/>
        <w:t>National, regional, and city data</w:t>
      </w:r>
    </w:p>
    <w:p w:rsidR="001E143F" w:rsidRDefault="001E143F" w:rsidP="001E143F">
      <w:pPr>
        <w:suppressAutoHyphens/>
        <w:ind w:left="1440" w:firstLine="720"/>
        <w:rPr>
          <w:spacing w:val="-3"/>
        </w:rPr>
      </w:pPr>
      <w:r>
        <w:rPr>
          <w:spacing w:val="-3"/>
        </w:rPr>
        <w:t>b.</w:t>
      </w:r>
      <w:r>
        <w:rPr>
          <w:spacing w:val="-3"/>
        </w:rPr>
        <w:tab/>
        <w:t>Neighborhood data</w:t>
      </w:r>
    </w:p>
    <w:p w:rsidR="001E143F" w:rsidRDefault="001E143F" w:rsidP="001E143F">
      <w:pPr>
        <w:suppressAutoHyphens/>
        <w:ind w:left="1440" w:firstLine="720"/>
        <w:rPr>
          <w:spacing w:val="-3"/>
        </w:rPr>
      </w:pPr>
      <w:r>
        <w:rPr>
          <w:spacing w:val="-3"/>
        </w:rPr>
        <w:t>c.</w:t>
      </w:r>
      <w:r>
        <w:rPr>
          <w:spacing w:val="-3"/>
        </w:rPr>
        <w:tab/>
        <w:t>Financing</w:t>
      </w:r>
    </w:p>
    <w:p w:rsidR="001E143F" w:rsidRDefault="001E143F" w:rsidP="001E143F">
      <w:pPr>
        <w:pStyle w:val="TOC6"/>
        <w:ind w:left="1440" w:firstLine="720"/>
        <w:rPr>
          <w:szCs w:val="24"/>
        </w:rPr>
      </w:pPr>
      <w:r>
        <w:rPr>
          <w:szCs w:val="24"/>
        </w:rPr>
        <w:t>d.         Site data</w:t>
      </w:r>
    </w:p>
    <w:p w:rsidR="001E143F" w:rsidRDefault="001E143F" w:rsidP="001E143F">
      <w:pPr>
        <w:suppressAutoHyphens/>
        <w:ind w:left="1440" w:firstLine="720"/>
        <w:rPr>
          <w:spacing w:val="-3"/>
          <w:lang w:val="nl-NL"/>
        </w:rPr>
      </w:pPr>
      <w:r>
        <w:rPr>
          <w:spacing w:val="-3"/>
          <w:lang w:val="nl-NL"/>
        </w:rPr>
        <w:t>e.</w:t>
      </w:r>
      <w:r>
        <w:rPr>
          <w:spacing w:val="-3"/>
          <w:lang w:val="nl-NL"/>
        </w:rPr>
        <w:tab/>
        <w:t>Utilities</w:t>
      </w:r>
    </w:p>
    <w:p w:rsidR="001E143F" w:rsidRDefault="001E143F" w:rsidP="001E143F">
      <w:pPr>
        <w:suppressAutoHyphens/>
        <w:ind w:left="1440" w:firstLine="720"/>
        <w:rPr>
          <w:spacing w:val="-3"/>
          <w:lang w:val="nl-NL"/>
        </w:rPr>
      </w:pPr>
      <w:r>
        <w:rPr>
          <w:spacing w:val="-3"/>
          <w:lang w:val="nl-NL"/>
        </w:rPr>
        <w:t>f.</w:t>
      </w:r>
      <w:r>
        <w:rPr>
          <w:spacing w:val="-3"/>
          <w:lang w:val="nl-NL"/>
        </w:rPr>
        <w:tab/>
        <w:t>Zoning</w:t>
      </w:r>
    </w:p>
    <w:p w:rsidR="001E143F" w:rsidRDefault="001E143F" w:rsidP="001E143F">
      <w:pPr>
        <w:suppressAutoHyphens/>
        <w:ind w:left="1440" w:firstLine="720"/>
        <w:rPr>
          <w:spacing w:val="-3"/>
          <w:lang w:val="nl-NL"/>
        </w:rPr>
      </w:pPr>
      <w:r>
        <w:rPr>
          <w:spacing w:val="-3"/>
          <w:lang w:val="nl-NL"/>
        </w:rPr>
        <w:t>g.</w:t>
      </w:r>
      <w:r>
        <w:rPr>
          <w:spacing w:val="-3"/>
          <w:lang w:val="nl-NL"/>
        </w:rPr>
        <w:tab/>
        <w:t>Amenities</w:t>
      </w:r>
    </w:p>
    <w:p w:rsidR="001E143F" w:rsidRDefault="001E143F" w:rsidP="001E143F">
      <w:pPr>
        <w:suppressAutoHyphens/>
        <w:ind w:left="1440" w:firstLine="720"/>
        <w:rPr>
          <w:spacing w:val="-3"/>
        </w:rPr>
      </w:pPr>
      <w:r>
        <w:rPr>
          <w:spacing w:val="-3"/>
        </w:rPr>
        <w:t>h.</w:t>
      </w:r>
      <w:r>
        <w:rPr>
          <w:spacing w:val="-3"/>
        </w:rPr>
        <w:tab/>
        <w:t>Description of improvements</w:t>
      </w:r>
    </w:p>
    <w:p w:rsidR="001E143F" w:rsidRDefault="001E143F" w:rsidP="001E143F">
      <w:pPr>
        <w:suppressAutoHyphens/>
        <w:ind w:left="1440" w:firstLine="720"/>
        <w:rPr>
          <w:spacing w:val="-3"/>
        </w:rPr>
      </w:pPr>
      <w:proofErr w:type="spellStart"/>
      <w:r>
        <w:rPr>
          <w:spacing w:val="-3"/>
        </w:rPr>
        <w:t>i</w:t>
      </w:r>
      <w:proofErr w:type="spellEnd"/>
      <w:r>
        <w:rPr>
          <w:spacing w:val="-3"/>
        </w:rPr>
        <w:t>.</w:t>
      </w:r>
      <w:r>
        <w:rPr>
          <w:spacing w:val="-3"/>
        </w:rPr>
        <w:tab/>
        <w:t>Taxes</w:t>
      </w:r>
    </w:p>
    <w:p w:rsidR="001E143F" w:rsidRDefault="001E143F" w:rsidP="001E143F">
      <w:pPr>
        <w:suppressAutoHyphens/>
        <w:ind w:left="1440" w:firstLine="720"/>
        <w:rPr>
          <w:spacing w:val="-3"/>
        </w:rPr>
      </w:pPr>
      <w:r>
        <w:rPr>
          <w:spacing w:val="-3"/>
        </w:rPr>
        <w:t>j.</w:t>
      </w:r>
      <w:r>
        <w:rPr>
          <w:spacing w:val="-3"/>
        </w:rPr>
        <w:tab/>
        <w:t>Sales history</w:t>
      </w:r>
    </w:p>
    <w:p w:rsidR="001E143F" w:rsidRDefault="001E143F" w:rsidP="001E143F">
      <w:pPr>
        <w:suppressAutoHyphens/>
        <w:ind w:left="720" w:firstLine="720"/>
        <w:rPr>
          <w:spacing w:val="-3"/>
        </w:rPr>
      </w:pPr>
      <w:r>
        <w:rPr>
          <w:spacing w:val="-3"/>
        </w:rPr>
        <w:lastRenderedPageBreak/>
        <w:t>4.</w:t>
      </w:r>
      <w:r>
        <w:rPr>
          <w:spacing w:val="-3"/>
        </w:rPr>
        <w:tab/>
        <w:t>Data Analyses and Conclusions</w:t>
      </w:r>
    </w:p>
    <w:p w:rsidR="001E143F" w:rsidRDefault="001E143F" w:rsidP="001E143F">
      <w:pPr>
        <w:suppressAutoHyphens/>
        <w:ind w:left="1440" w:firstLine="720"/>
        <w:rPr>
          <w:spacing w:val="-3"/>
        </w:rPr>
      </w:pPr>
      <w:r>
        <w:rPr>
          <w:spacing w:val="-3"/>
        </w:rPr>
        <w:t>a.</w:t>
      </w:r>
      <w:r>
        <w:rPr>
          <w:spacing w:val="-3"/>
        </w:rPr>
        <w:tab/>
        <w:t>Highest and best use analysis</w:t>
      </w:r>
    </w:p>
    <w:p w:rsidR="001E143F" w:rsidRDefault="001E143F" w:rsidP="001E143F">
      <w:pPr>
        <w:suppressAutoHyphens/>
        <w:ind w:left="1440" w:firstLine="720"/>
        <w:rPr>
          <w:spacing w:val="-3"/>
        </w:rPr>
      </w:pPr>
      <w:r>
        <w:rPr>
          <w:spacing w:val="-3"/>
        </w:rPr>
        <w:t xml:space="preserve"> b.</w:t>
      </w:r>
      <w:r>
        <w:rPr>
          <w:spacing w:val="-3"/>
        </w:rPr>
        <w:tab/>
        <w:t>The cost approach</w:t>
      </w:r>
    </w:p>
    <w:p w:rsidR="001E143F" w:rsidRDefault="001E143F" w:rsidP="001E143F">
      <w:pPr>
        <w:suppressAutoHyphens/>
        <w:ind w:left="1440" w:firstLine="720"/>
        <w:rPr>
          <w:spacing w:val="-3"/>
        </w:rPr>
      </w:pPr>
      <w:r>
        <w:rPr>
          <w:spacing w:val="-3"/>
        </w:rPr>
        <w:t>c.</w:t>
      </w:r>
      <w:r>
        <w:rPr>
          <w:spacing w:val="-3"/>
        </w:rPr>
        <w:tab/>
        <w:t>The sales comparison approach</w:t>
      </w:r>
    </w:p>
    <w:p w:rsidR="001E143F" w:rsidRDefault="001E143F" w:rsidP="001E143F">
      <w:pPr>
        <w:suppressAutoHyphens/>
        <w:ind w:left="1440" w:firstLine="720"/>
        <w:rPr>
          <w:spacing w:val="-3"/>
        </w:rPr>
      </w:pPr>
      <w:r>
        <w:rPr>
          <w:spacing w:val="-3"/>
        </w:rPr>
        <w:t>d.</w:t>
      </w:r>
      <w:r>
        <w:rPr>
          <w:spacing w:val="-3"/>
        </w:rPr>
        <w:tab/>
        <w:t>The income capitalization approach</w:t>
      </w:r>
    </w:p>
    <w:p w:rsidR="001E143F" w:rsidRDefault="001E143F" w:rsidP="001E143F">
      <w:pPr>
        <w:suppressAutoHyphens/>
        <w:ind w:left="1440" w:firstLine="720"/>
        <w:rPr>
          <w:spacing w:val="-3"/>
        </w:rPr>
      </w:pPr>
      <w:r>
        <w:rPr>
          <w:spacing w:val="-3"/>
        </w:rPr>
        <w:t>e.</w:t>
      </w:r>
      <w:r>
        <w:rPr>
          <w:spacing w:val="-3"/>
        </w:rPr>
        <w:tab/>
        <w:t xml:space="preserve">Reconciliation and final conclusion of value </w:t>
      </w:r>
    </w:p>
    <w:p w:rsidR="001E143F" w:rsidRDefault="001E143F" w:rsidP="001E143F">
      <w:pPr>
        <w:suppressAutoHyphens/>
        <w:ind w:left="1440" w:firstLine="720"/>
        <w:rPr>
          <w:spacing w:val="-3"/>
        </w:rPr>
      </w:pPr>
      <w:r>
        <w:rPr>
          <w:spacing w:val="-3"/>
        </w:rPr>
        <w:t>f.</w:t>
      </w:r>
      <w:r>
        <w:rPr>
          <w:spacing w:val="-3"/>
        </w:rPr>
        <w:tab/>
        <w:t>Certification of value</w:t>
      </w:r>
    </w:p>
    <w:p w:rsidR="001E143F" w:rsidRDefault="001E143F" w:rsidP="001E143F">
      <w:pPr>
        <w:suppressAutoHyphens/>
        <w:ind w:left="1440" w:firstLine="720"/>
        <w:rPr>
          <w:spacing w:val="-3"/>
        </w:rPr>
      </w:pPr>
      <w:r>
        <w:rPr>
          <w:spacing w:val="-3"/>
        </w:rPr>
        <w:t>g.</w:t>
      </w:r>
      <w:r>
        <w:rPr>
          <w:spacing w:val="-3"/>
        </w:rPr>
        <w:tab/>
        <w:t>Qualifications of appraiser</w:t>
      </w:r>
    </w:p>
    <w:p w:rsidR="001E143F" w:rsidRDefault="001E143F" w:rsidP="001E143F">
      <w:pPr>
        <w:suppressAutoHyphens/>
        <w:ind w:left="720" w:firstLine="720"/>
        <w:rPr>
          <w:spacing w:val="-3"/>
        </w:rPr>
      </w:pPr>
      <w:r>
        <w:rPr>
          <w:spacing w:val="-3"/>
        </w:rPr>
        <w:t>5.</w:t>
      </w:r>
      <w:r>
        <w:rPr>
          <w:spacing w:val="-3"/>
        </w:rPr>
        <w:tab/>
        <w:t>Supporting material</w:t>
      </w:r>
    </w:p>
    <w:p w:rsidR="001E143F" w:rsidRDefault="001E143F" w:rsidP="001E143F">
      <w:pPr>
        <w:suppressAutoHyphens/>
        <w:ind w:left="2160" w:hanging="720"/>
        <w:rPr>
          <w:spacing w:val="-3"/>
        </w:rPr>
      </w:pPr>
      <w:r>
        <w:rPr>
          <w:spacing w:val="-3"/>
        </w:rPr>
        <w:t>6.</w:t>
      </w:r>
      <w:r>
        <w:rPr>
          <w:spacing w:val="-3"/>
        </w:rPr>
        <w:tab/>
        <w:t>Addenda—includes tables of supporting data, maps, photographs, plat and floor plans, leases, deeds, contracts, or other items that influenced the appraiser in reaching the final conclusion of value</w:t>
      </w:r>
    </w:p>
    <w:p w:rsidR="001E143F" w:rsidRDefault="001E143F" w:rsidP="001E143F">
      <w:pPr>
        <w:suppressAutoHyphens/>
        <w:ind w:left="2160" w:hanging="720"/>
        <w:rPr>
          <w:spacing w:val="-3"/>
        </w:rPr>
      </w:pPr>
    </w:p>
    <w:p w:rsidR="001E143F" w:rsidRDefault="001E143F" w:rsidP="001E143F">
      <w:pPr>
        <w:pStyle w:val="Heading2"/>
        <w:rPr>
          <w:szCs w:val="24"/>
        </w:rPr>
      </w:pPr>
      <w:r>
        <w:rPr>
          <w:szCs w:val="24"/>
        </w:rPr>
        <w:t>Exercise 15-3</w:t>
      </w:r>
    </w:p>
    <w:p w:rsidR="001E143F" w:rsidRDefault="001E143F" w:rsidP="001E143F">
      <w:pPr>
        <w:pStyle w:val="Heading2"/>
        <w:jc w:val="left"/>
        <w:rPr>
          <w:b w:val="0"/>
          <w:szCs w:val="24"/>
        </w:rPr>
      </w:pPr>
    </w:p>
    <w:p w:rsidR="001E143F" w:rsidRDefault="001E143F" w:rsidP="001E143F">
      <w:pPr>
        <w:suppressAutoHyphens/>
        <w:rPr>
          <w:spacing w:val="-3"/>
        </w:rPr>
      </w:pPr>
      <w:r>
        <w:rPr>
          <w:spacing w:val="-3"/>
        </w:rPr>
        <w:t>VI.</w:t>
      </w:r>
      <w:r>
        <w:rPr>
          <w:spacing w:val="-3"/>
        </w:rPr>
        <w:tab/>
        <w:t>Sample Appraisal Report</w:t>
      </w:r>
    </w:p>
    <w:p w:rsidR="001E143F" w:rsidRPr="00F86E26" w:rsidRDefault="001E143F" w:rsidP="001E143F">
      <w:pPr>
        <w:pStyle w:val="ListParagraph"/>
        <w:widowControl w:val="0"/>
        <w:numPr>
          <w:ilvl w:val="0"/>
          <w:numId w:val="50"/>
        </w:numPr>
        <w:suppressAutoHyphens/>
        <w:snapToGrid w:val="0"/>
        <w:rPr>
          <w:spacing w:val="-3"/>
        </w:rPr>
      </w:pPr>
      <w:r w:rsidRPr="00F86E26">
        <w:rPr>
          <w:spacing w:val="-3"/>
        </w:rPr>
        <w:t xml:space="preserve">URAR (Figure 15.1)--Market Conditions Addendum must be added for mortgages purchased by Fannie Mae or Freddie Mac  </w:t>
      </w:r>
    </w:p>
    <w:p w:rsidR="001E143F" w:rsidRPr="000C321A" w:rsidRDefault="001E143F" w:rsidP="001E143F">
      <w:pPr>
        <w:pStyle w:val="Heading2"/>
        <w:ind w:left="720"/>
        <w:jc w:val="left"/>
        <w:rPr>
          <w:b w:val="0"/>
          <w:szCs w:val="24"/>
        </w:rPr>
      </w:pPr>
      <w:r>
        <w:rPr>
          <w:b w:val="0"/>
          <w:szCs w:val="24"/>
        </w:rPr>
        <w:t xml:space="preserve">B. </w:t>
      </w:r>
      <w:r>
        <w:rPr>
          <w:b w:val="0"/>
          <w:szCs w:val="24"/>
        </w:rPr>
        <w:tab/>
      </w:r>
      <w:r w:rsidRPr="000C321A">
        <w:t xml:space="preserve">Form 2075 (Figure 15.2)—streamlined appraisal form used in conjunction with </w:t>
      </w:r>
      <w:r>
        <w:rPr>
          <w:b w:val="0"/>
          <w:szCs w:val="24"/>
        </w:rPr>
        <w:tab/>
      </w:r>
      <w:r w:rsidRPr="000C321A">
        <w:rPr>
          <w:b w:val="0"/>
          <w:szCs w:val="24"/>
        </w:rPr>
        <w:t>Fannie Mae’s Desktop Underwriter computer program (Figure 15.2)</w:t>
      </w:r>
    </w:p>
    <w:p w:rsidR="001E143F" w:rsidRDefault="001E143F" w:rsidP="001E143F">
      <w:pPr>
        <w:pStyle w:val="Heading2"/>
        <w:rPr>
          <w:szCs w:val="24"/>
        </w:rPr>
      </w:pPr>
    </w:p>
    <w:p w:rsidR="001E143F" w:rsidRDefault="001E143F" w:rsidP="001E143F">
      <w:pPr>
        <w:pStyle w:val="Heading2"/>
        <w:rPr>
          <w:szCs w:val="24"/>
        </w:rPr>
      </w:pPr>
      <w:r>
        <w:rPr>
          <w:szCs w:val="24"/>
        </w:rPr>
        <w:t>Exercise 15-4</w:t>
      </w:r>
    </w:p>
    <w:p w:rsidR="001E143F" w:rsidRDefault="001E143F" w:rsidP="001E143F"/>
    <w:p w:rsidR="001E143F" w:rsidRDefault="001E143F" w:rsidP="001E143F">
      <w:pPr>
        <w:pStyle w:val="Heading2"/>
        <w:jc w:val="left"/>
        <w:rPr>
          <w:b w:val="0"/>
          <w:szCs w:val="24"/>
        </w:rPr>
      </w:pPr>
      <w:r>
        <w:rPr>
          <w:b w:val="0"/>
          <w:szCs w:val="24"/>
        </w:rPr>
        <w:t>Summary</w:t>
      </w:r>
    </w:p>
    <w:p w:rsidR="001E143F" w:rsidRDefault="001E143F" w:rsidP="001E143F">
      <w:pPr>
        <w:suppressAutoHyphens/>
        <w:rPr>
          <w:spacing w:val="-3"/>
        </w:rPr>
      </w:pPr>
    </w:p>
    <w:p w:rsidR="001E143F" w:rsidRDefault="001E143F" w:rsidP="001E143F">
      <w:pPr>
        <w:pStyle w:val="Heading2"/>
        <w:jc w:val="left"/>
        <w:rPr>
          <w:b w:val="0"/>
          <w:szCs w:val="24"/>
        </w:rPr>
      </w:pPr>
      <w:r>
        <w:rPr>
          <w:b w:val="0"/>
          <w:szCs w:val="24"/>
        </w:rPr>
        <w:t>Review Questions</w:t>
      </w:r>
    </w:p>
    <w:p w:rsidR="001E143F" w:rsidRDefault="001E143F" w:rsidP="001E143F">
      <w:pPr>
        <w:suppressAutoHyphens/>
        <w:rPr>
          <w:spacing w:val="-3"/>
        </w:rPr>
      </w:pPr>
    </w:p>
    <w:p w:rsidR="001E143F" w:rsidRDefault="001E143F" w:rsidP="001E143F">
      <w:pPr>
        <w:suppressAutoHyphens/>
        <w:rPr>
          <w:spacing w:val="-3"/>
        </w:rPr>
      </w:pPr>
    </w:p>
    <w:p w:rsidR="007C37BE" w:rsidRPr="00FE1DBC" w:rsidRDefault="007C37BE" w:rsidP="007C37BE">
      <w:pPr>
        <w:widowControl w:val="0"/>
        <w:rPr>
          <w:b/>
        </w:rPr>
      </w:pPr>
    </w:p>
    <w:p w:rsidR="00517BEC" w:rsidRPr="00517BEC" w:rsidRDefault="00517BEC" w:rsidP="00517BEC">
      <w:pPr>
        <w:autoSpaceDE w:val="0"/>
        <w:autoSpaceDN w:val="0"/>
        <w:adjustRightInd w:val="0"/>
      </w:pPr>
    </w:p>
    <w:p w:rsidR="0001331B" w:rsidRDefault="0001331B" w:rsidP="00517BEC"/>
    <w:sectPr w:rsidR="0001331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D6" w:rsidRDefault="004345D6">
      <w:r>
        <w:separator/>
      </w:r>
    </w:p>
  </w:endnote>
  <w:endnote w:type="continuationSeparator" w:id="0">
    <w:p w:rsidR="004345D6" w:rsidRDefault="004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3F5ED6">
      <w:rPr>
        <w:rFonts w:ascii="Arial" w:hAnsi="Arial" w:cs="Arial"/>
        <w:sz w:val="20"/>
        <w:szCs w:val="20"/>
      </w:rPr>
      <w:t>8</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D6" w:rsidRDefault="004345D6">
      <w:r>
        <w:separator/>
      </w:r>
    </w:p>
  </w:footnote>
  <w:footnote w:type="continuationSeparator" w:id="0">
    <w:p w:rsidR="004345D6" w:rsidRDefault="0043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E6" w:rsidRDefault="009152E6" w:rsidP="009152E6">
    <w:pPr>
      <w:pStyle w:val="Header"/>
      <w:jc w:val="right"/>
    </w:pPr>
    <w:r w:rsidRPr="001532D6">
      <w:rPr>
        <w:rStyle w:val="PageNumber"/>
        <w:rFonts w:ascii="Arial" w:hAnsi="Arial" w:cs="Arial"/>
        <w:i/>
        <w:sz w:val="20"/>
      </w:rPr>
      <w:t>Fundamentals of Real Estate Appraisal</w:t>
    </w:r>
    <w:r>
      <w:rPr>
        <w:rStyle w:val="PageNumber"/>
        <w:rFonts w:ascii="Arial" w:hAnsi="Arial" w:cs="Arial"/>
        <w:i/>
        <w:sz w:val="20"/>
      </w:rPr>
      <w:t xml:space="preserve"> Thirteenth</w:t>
    </w:r>
    <w:r w:rsidRPr="001532D6">
      <w:rPr>
        <w:rStyle w:val="PageNumber"/>
        <w:rFonts w:ascii="Arial" w:hAnsi="Arial" w:cs="Arial"/>
        <w:i/>
        <w:sz w:val="20"/>
      </w:rPr>
      <w:t xml:space="preserve"> Edition</w:t>
    </w:r>
  </w:p>
  <w:p w:rsidR="0075160F" w:rsidRDefault="00751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A5E"/>
    <w:multiLevelType w:val="hybridMultilevel"/>
    <w:tmpl w:val="3CB0A3F4"/>
    <w:lvl w:ilvl="0" w:tplc="0592F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7EF"/>
    <w:multiLevelType w:val="hybridMultilevel"/>
    <w:tmpl w:val="19DA3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7EB3"/>
    <w:multiLevelType w:val="hybridMultilevel"/>
    <w:tmpl w:val="C9EABD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A623B4"/>
    <w:multiLevelType w:val="hybridMultilevel"/>
    <w:tmpl w:val="E8C0C2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1A76AA3"/>
    <w:multiLevelType w:val="hybridMultilevel"/>
    <w:tmpl w:val="65587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60A25"/>
    <w:multiLevelType w:val="hybridMultilevel"/>
    <w:tmpl w:val="9DB25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70B3F"/>
    <w:multiLevelType w:val="hybridMultilevel"/>
    <w:tmpl w:val="4F806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51C19"/>
    <w:multiLevelType w:val="hybridMultilevel"/>
    <w:tmpl w:val="618486B6"/>
    <w:lvl w:ilvl="0" w:tplc="49CED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11F2C"/>
    <w:multiLevelType w:val="hybridMultilevel"/>
    <w:tmpl w:val="2CE6C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0AF1821"/>
    <w:multiLevelType w:val="hybridMultilevel"/>
    <w:tmpl w:val="A61E78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2D27ABD"/>
    <w:multiLevelType w:val="hybridMultilevel"/>
    <w:tmpl w:val="0A329E6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CE4709"/>
    <w:multiLevelType w:val="hybridMultilevel"/>
    <w:tmpl w:val="DA06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4062F"/>
    <w:multiLevelType w:val="hybridMultilevel"/>
    <w:tmpl w:val="DDA0D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843535"/>
    <w:multiLevelType w:val="hybridMultilevel"/>
    <w:tmpl w:val="D40EC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50CDE"/>
    <w:multiLevelType w:val="hybridMultilevel"/>
    <w:tmpl w:val="390A8300"/>
    <w:lvl w:ilvl="0" w:tplc="B7CCB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1175C"/>
    <w:multiLevelType w:val="hybridMultilevel"/>
    <w:tmpl w:val="92929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264657C"/>
    <w:multiLevelType w:val="hybridMultilevel"/>
    <w:tmpl w:val="3A427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C16EB"/>
    <w:multiLevelType w:val="hybridMultilevel"/>
    <w:tmpl w:val="D2CEB4EA"/>
    <w:lvl w:ilvl="0" w:tplc="79B82D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81B1D"/>
    <w:multiLevelType w:val="hybridMultilevel"/>
    <w:tmpl w:val="F08CAD50"/>
    <w:lvl w:ilvl="0" w:tplc="532AE2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F69AC"/>
    <w:multiLevelType w:val="hybridMultilevel"/>
    <w:tmpl w:val="E642FDF2"/>
    <w:lvl w:ilvl="0" w:tplc="98B00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5328D"/>
    <w:multiLevelType w:val="hybridMultilevel"/>
    <w:tmpl w:val="1250F1F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A05896"/>
    <w:multiLevelType w:val="hybridMultilevel"/>
    <w:tmpl w:val="8F843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E69FC"/>
    <w:multiLevelType w:val="hybridMultilevel"/>
    <w:tmpl w:val="81B805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BA56DFC"/>
    <w:multiLevelType w:val="hybridMultilevel"/>
    <w:tmpl w:val="B4B280CA"/>
    <w:lvl w:ilvl="0" w:tplc="852C5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36987"/>
    <w:multiLevelType w:val="hybridMultilevel"/>
    <w:tmpl w:val="7AEACD8A"/>
    <w:lvl w:ilvl="0" w:tplc="7DF46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0283B"/>
    <w:multiLevelType w:val="hybridMultilevel"/>
    <w:tmpl w:val="475E7042"/>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F3928FC"/>
    <w:multiLevelType w:val="hybridMultilevel"/>
    <w:tmpl w:val="04B4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B4DE7"/>
    <w:multiLevelType w:val="hybridMultilevel"/>
    <w:tmpl w:val="D8BEA1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17A1D93"/>
    <w:multiLevelType w:val="hybridMultilevel"/>
    <w:tmpl w:val="7B62B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A45A6"/>
    <w:multiLevelType w:val="hybridMultilevel"/>
    <w:tmpl w:val="84C29F3E"/>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623663A"/>
    <w:multiLevelType w:val="hybridMultilevel"/>
    <w:tmpl w:val="135E6F94"/>
    <w:lvl w:ilvl="0" w:tplc="1994A94E">
      <w:start w:val="1"/>
      <w:numFmt w:val="bullet"/>
      <w:lvlText w:val="•"/>
      <w:lvlJc w:val="left"/>
      <w:pPr>
        <w:tabs>
          <w:tab w:val="num" w:pos="720"/>
        </w:tabs>
        <w:ind w:left="720" w:hanging="360"/>
      </w:pPr>
      <w:rPr>
        <w:rFonts w:ascii="Times New Roman" w:hAnsi="Times New Roman" w:hint="default"/>
      </w:rPr>
    </w:lvl>
    <w:lvl w:ilvl="1" w:tplc="9DB46F70">
      <w:start w:val="1605"/>
      <w:numFmt w:val="bullet"/>
      <w:lvlText w:val="–"/>
      <w:lvlJc w:val="left"/>
      <w:pPr>
        <w:tabs>
          <w:tab w:val="num" w:pos="1440"/>
        </w:tabs>
        <w:ind w:left="1440" w:hanging="360"/>
      </w:pPr>
      <w:rPr>
        <w:rFonts w:ascii="Times New Roman" w:hAnsi="Times New Roman" w:hint="default"/>
      </w:rPr>
    </w:lvl>
    <w:lvl w:ilvl="2" w:tplc="9688637A">
      <w:start w:val="1"/>
      <w:numFmt w:val="bullet"/>
      <w:lvlText w:val="•"/>
      <w:lvlJc w:val="left"/>
      <w:pPr>
        <w:tabs>
          <w:tab w:val="num" w:pos="2160"/>
        </w:tabs>
        <w:ind w:left="2160" w:hanging="360"/>
      </w:pPr>
      <w:rPr>
        <w:rFonts w:ascii="Times New Roman" w:hAnsi="Times New Roman" w:hint="default"/>
      </w:rPr>
    </w:lvl>
    <w:lvl w:ilvl="3" w:tplc="B4CA4948">
      <w:start w:val="1"/>
      <w:numFmt w:val="bullet"/>
      <w:lvlText w:val="•"/>
      <w:lvlJc w:val="left"/>
      <w:pPr>
        <w:tabs>
          <w:tab w:val="num" w:pos="2880"/>
        </w:tabs>
        <w:ind w:left="2880" w:hanging="360"/>
      </w:pPr>
      <w:rPr>
        <w:rFonts w:ascii="Times New Roman" w:hAnsi="Times New Roman" w:hint="default"/>
      </w:rPr>
    </w:lvl>
    <w:lvl w:ilvl="4" w:tplc="A69E6F8C" w:tentative="1">
      <w:start w:val="1"/>
      <w:numFmt w:val="bullet"/>
      <w:lvlText w:val="•"/>
      <w:lvlJc w:val="left"/>
      <w:pPr>
        <w:tabs>
          <w:tab w:val="num" w:pos="3600"/>
        </w:tabs>
        <w:ind w:left="3600" w:hanging="360"/>
      </w:pPr>
      <w:rPr>
        <w:rFonts w:ascii="Times New Roman" w:hAnsi="Times New Roman" w:hint="default"/>
      </w:rPr>
    </w:lvl>
    <w:lvl w:ilvl="5" w:tplc="BAF623B8" w:tentative="1">
      <w:start w:val="1"/>
      <w:numFmt w:val="bullet"/>
      <w:lvlText w:val="•"/>
      <w:lvlJc w:val="left"/>
      <w:pPr>
        <w:tabs>
          <w:tab w:val="num" w:pos="4320"/>
        </w:tabs>
        <w:ind w:left="4320" w:hanging="360"/>
      </w:pPr>
      <w:rPr>
        <w:rFonts w:ascii="Times New Roman" w:hAnsi="Times New Roman" w:hint="default"/>
      </w:rPr>
    </w:lvl>
    <w:lvl w:ilvl="6" w:tplc="CDDC25AA" w:tentative="1">
      <w:start w:val="1"/>
      <w:numFmt w:val="bullet"/>
      <w:lvlText w:val="•"/>
      <w:lvlJc w:val="left"/>
      <w:pPr>
        <w:tabs>
          <w:tab w:val="num" w:pos="5040"/>
        </w:tabs>
        <w:ind w:left="5040" w:hanging="360"/>
      </w:pPr>
      <w:rPr>
        <w:rFonts w:ascii="Times New Roman" w:hAnsi="Times New Roman" w:hint="default"/>
      </w:rPr>
    </w:lvl>
    <w:lvl w:ilvl="7" w:tplc="408495A2" w:tentative="1">
      <w:start w:val="1"/>
      <w:numFmt w:val="bullet"/>
      <w:lvlText w:val="•"/>
      <w:lvlJc w:val="left"/>
      <w:pPr>
        <w:tabs>
          <w:tab w:val="num" w:pos="5760"/>
        </w:tabs>
        <w:ind w:left="5760" w:hanging="360"/>
      </w:pPr>
      <w:rPr>
        <w:rFonts w:ascii="Times New Roman" w:hAnsi="Times New Roman" w:hint="default"/>
      </w:rPr>
    </w:lvl>
    <w:lvl w:ilvl="8" w:tplc="D08E7C4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6DB13BD"/>
    <w:multiLevelType w:val="hybridMultilevel"/>
    <w:tmpl w:val="F474CA5A"/>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BAE10B5"/>
    <w:multiLevelType w:val="hybridMultilevel"/>
    <w:tmpl w:val="2D242F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C3675AC"/>
    <w:multiLevelType w:val="hybridMultilevel"/>
    <w:tmpl w:val="1F4E3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757F1"/>
    <w:multiLevelType w:val="hybridMultilevel"/>
    <w:tmpl w:val="F216C0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0341FB7"/>
    <w:multiLevelType w:val="hybridMultilevel"/>
    <w:tmpl w:val="471C6740"/>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1C12AA4"/>
    <w:multiLevelType w:val="hybridMultilevel"/>
    <w:tmpl w:val="FCC26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941D90"/>
    <w:multiLevelType w:val="hybridMultilevel"/>
    <w:tmpl w:val="92F65D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8F5786C"/>
    <w:multiLevelType w:val="hybridMultilevel"/>
    <w:tmpl w:val="E9F850AE"/>
    <w:lvl w:ilvl="0" w:tplc="01DED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D2398A"/>
    <w:multiLevelType w:val="hybridMultilevel"/>
    <w:tmpl w:val="E4BED772"/>
    <w:lvl w:ilvl="0" w:tplc="929CD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162EC"/>
    <w:multiLevelType w:val="hybridMultilevel"/>
    <w:tmpl w:val="8B2A5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C6E05"/>
    <w:multiLevelType w:val="hybridMultilevel"/>
    <w:tmpl w:val="43F0C604"/>
    <w:lvl w:ilvl="0" w:tplc="170EB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05C88"/>
    <w:multiLevelType w:val="hybridMultilevel"/>
    <w:tmpl w:val="1C0654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E1A272B"/>
    <w:multiLevelType w:val="hybridMultilevel"/>
    <w:tmpl w:val="A74692F8"/>
    <w:lvl w:ilvl="0" w:tplc="F934C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E0599"/>
    <w:multiLevelType w:val="hybridMultilevel"/>
    <w:tmpl w:val="E502040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4D31642"/>
    <w:multiLevelType w:val="hybridMultilevel"/>
    <w:tmpl w:val="46941F14"/>
    <w:lvl w:ilvl="0" w:tplc="5356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E5365"/>
    <w:multiLevelType w:val="hybridMultilevel"/>
    <w:tmpl w:val="04BAC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E51BBE"/>
    <w:multiLevelType w:val="hybridMultilevel"/>
    <w:tmpl w:val="054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C0F52"/>
    <w:multiLevelType w:val="hybridMultilevel"/>
    <w:tmpl w:val="E266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2368A7"/>
    <w:multiLevelType w:val="hybridMultilevel"/>
    <w:tmpl w:val="5270EFAC"/>
    <w:lvl w:ilvl="0" w:tplc="7A0EF3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8"/>
  </w:num>
  <w:num w:numId="3">
    <w:abstractNumId w:val="49"/>
  </w:num>
  <w:num w:numId="4">
    <w:abstractNumId w:val="16"/>
  </w:num>
  <w:num w:numId="5">
    <w:abstractNumId w:val="28"/>
  </w:num>
  <w:num w:numId="6">
    <w:abstractNumId w:val="18"/>
  </w:num>
  <w:num w:numId="7">
    <w:abstractNumId w:val="5"/>
  </w:num>
  <w:num w:numId="8">
    <w:abstractNumId w:val="24"/>
  </w:num>
  <w:num w:numId="9">
    <w:abstractNumId w:val="6"/>
  </w:num>
  <w:num w:numId="10">
    <w:abstractNumId w:val="38"/>
  </w:num>
  <w:num w:numId="11">
    <w:abstractNumId w:val="26"/>
  </w:num>
  <w:num w:numId="12">
    <w:abstractNumId w:val="7"/>
  </w:num>
  <w:num w:numId="13">
    <w:abstractNumId w:val="46"/>
  </w:num>
  <w:num w:numId="14">
    <w:abstractNumId w:val="19"/>
  </w:num>
  <w:num w:numId="15">
    <w:abstractNumId w:val="36"/>
  </w:num>
  <w:num w:numId="16">
    <w:abstractNumId w:val="23"/>
  </w:num>
  <w:num w:numId="17">
    <w:abstractNumId w:val="40"/>
  </w:num>
  <w:num w:numId="18">
    <w:abstractNumId w:val="39"/>
  </w:num>
  <w:num w:numId="19">
    <w:abstractNumId w:val="4"/>
  </w:num>
  <w:num w:numId="20">
    <w:abstractNumId w:val="17"/>
  </w:num>
  <w:num w:numId="21">
    <w:abstractNumId w:val="21"/>
  </w:num>
  <w:num w:numId="22">
    <w:abstractNumId w:val="41"/>
  </w:num>
  <w:num w:numId="23">
    <w:abstractNumId w:val="1"/>
  </w:num>
  <w:num w:numId="24">
    <w:abstractNumId w:val="0"/>
  </w:num>
  <w:num w:numId="25">
    <w:abstractNumId w:val="33"/>
  </w:num>
  <w:num w:numId="26">
    <w:abstractNumId w:val="45"/>
  </w:num>
  <w:num w:numId="27">
    <w:abstractNumId w:val="13"/>
  </w:num>
  <w:num w:numId="28">
    <w:abstractNumId w:val="43"/>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11"/>
  </w:num>
  <w:num w:numId="48">
    <w:abstractNumId w:val="47"/>
  </w:num>
  <w:num w:numId="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519C"/>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6D79"/>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9604B"/>
    <w:rsid w:val="001A1D65"/>
    <w:rsid w:val="001B1667"/>
    <w:rsid w:val="001B35A8"/>
    <w:rsid w:val="001C3851"/>
    <w:rsid w:val="001D0E83"/>
    <w:rsid w:val="001D2617"/>
    <w:rsid w:val="001D3B45"/>
    <w:rsid w:val="001D4001"/>
    <w:rsid w:val="001D65F9"/>
    <w:rsid w:val="001D69D0"/>
    <w:rsid w:val="001E0443"/>
    <w:rsid w:val="001E0E85"/>
    <w:rsid w:val="001E143F"/>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5ED6"/>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350"/>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17BEC"/>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0B4"/>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60B"/>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6F55"/>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39E1"/>
    <w:rsid w:val="007B3A0F"/>
    <w:rsid w:val="007B3BCF"/>
    <w:rsid w:val="007B560B"/>
    <w:rsid w:val="007B5C04"/>
    <w:rsid w:val="007B5EAA"/>
    <w:rsid w:val="007C318C"/>
    <w:rsid w:val="007C37BE"/>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0FFE"/>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52E6"/>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0E87"/>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1AA1"/>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526"/>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06FF"/>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1F6A"/>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B79AD"/>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C43D369D-EB70-4819-B09F-6EAC7F28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paragraph" w:styleId="Heading2">
    <w:name w:val="heading 2"/>
    <w:basedOn w:val="Normal"/>
    <w:next w:val="Normal"/>
    <w:link w:val="Heading2Char"/>
    <w:uiPriority w:val="9"/>
    <w:qFormat/>
    <w:rsid w:val="001E143F"/>
    <w:pPr>
      <w:keepNext/>
      <w:widowControl w:val="0"/>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uiPriority w:val="99"/>
    <w:rsid w:val="008760C5"/>
  </w:style>
  <w:style w:type="paragraph" w:styleId="ListParagraph">
    <w:name w:val="List Paragraph"/>
    <w:basedOn w:val="Normal"/>
    <w:uiPriority w:val="34"/>
    <w:qFormat/>
    <w:rsid w:val="0067260B"/>
    <w:pPr>
      <w:ind w:left="720"/>
      <w:contextualSpacing/>
    </w:pPr>
  </w:style>
  <w:style w:type="character" w:customStyle="1" w:styleId="HeaderChar">
    <w:name w:val="Header Char"/>
    <w:basedOn w:val="DefaultParagraphFont"/>
    <w:link w:val="Header"/>
    <w:uiPriority w:val="99"/>
    <w:rsid w:val="009152E6"/>
    <w:rPr>
      <w:sz w:val="24"/>
      <w:szCs w:val="24"/>
    </w:rPr>
  </w:style>
  <w:style w:type="character" w:customStyle="1" w:styleId="Heading2Char">
    <w:name w:val="Heading 2 Char"/>
    <w:basedOn w:val="DefaultParagraphFont"/>
    <w:link w:val="Heading2"/>
    <w:uiPriority w:val="9"/>
    <w:rsid w:val="001E143F"/>
    <w:rPr>
      <w:b/>
      <w:spacing w:val="-3"/>
      <w:sz w:val="24"/>
    </w:rPr>
  </w:style>
  <w:style w:type="paragraph" w:styleId="TOC6">
    <w:name w:val="toc 6"/>
    <w:basedOn w:val="Normal"/>
    <w:next w:val="Normal"/>
    <w:autoRedefine/>
    <w:uiPriority w:val="39"/>
    <w:rsid w:val="001E143F"/>
    <w:pPr>
      <w:widowControl w:val="0"/>
      <w:suppressAutoHyphens/>
      <w:snapToGrid w:val="0"/>
      <w:ind w:left="360" w:hanging="360"/>
    </w:pPr>
    <w:rPr>
      <w:spacing w:val="-3"/>
      <w:szCs w:val="20"/>
    </w:rPr>
  </w:style>
  <w:style w:type="paragraph" w:styleId="BodyTextIndent2">
    <w:name w:val="Body Text Indent 2"/>
    <w:basedOn w:val="Normal"/>
    <w:link w:val="BodyTextIndent2Char"/>
    <w:uiPriority w:val="99"/>
    <w:rsid w:val="001E143F"/>
    <w:pPr>
      <w:widowControl w:val="0"/>
      <w:suppressAutoHyphens/>
      <w:snapToGrid w:val="0"/>
      <w:ind w:left="1440" w:hanging="720"/>
    </w:pPr>
    <w:rPr>
      <w:spacing w:val="-3"/>
      <w:szCs w:val="20"/>
    </w:rPr>
  </w:style>
  <w:style w:type="character" w:customStyle="1" w:styleId="BodyTextIndent2Char">
    <w:name w:val="Body Text Indent 2 Char"/>
    <w:basedOn w:val="DefaultParagraphFont"/>
    <w:link w:val="BodyTextIndent2"/>
    <w:uiPriority w:val="99"/>
    <w:rsid w:val="001E143F"/>
    <w:rPr>
      <w:spacing w:val="-3"/>
      <w:sz w:val="24"/>
    </w:rPr>
  </w:style>
  <w:style w:type="paragraph" w:styleId="BodyTextIndent3">
    <w:name w:val="Body Text Indent 3"/>
    <w:basedOn w:val="Normal"/>
    <w:link w:val="BodyTextIndent3Char"/>
    <w:unhideWhenUsed/>
    <w:rsid w:val="001E143F"/>
    <w:pPr>
      <w:spacing w:after="120"/>
      <w:ind w:left="360"/>
    </w:pPr>
    <w:rPr>
      <w:sz w:val="16"/>
      <w:szCs w:val="16"/>
    </w:rPr>
  </w:style>
  <w:style w:type="character" w:customStyle="1" w:styleId="BodyTextIndent3Char">
    <w:name w:val="Body Text Indent 3 Char"/>
    <w:basedOn w:val="DefaultParagraphFont"/>
    <w:link w:val="BodyTextIndent3"/>
    <w:rsid w:val="001E143F"/>
    <w:rPr>
      <w:sz w:val="16"/>
      <w:szCs w:val="16"/>
    </w:rPr>
  </w:style>
  <w:style w:type="paragraph" w:styleId="BodyText">
    <w:name w:val="Body Text"/>
    <w:basedOn w:val="Normal"/>
    <w:link w:val="BodyTextChar"/>
    <w:unhideWhenUsed/>
    <w:rsid w:val="001E143F"/>
    <w:pPr>
      <w:spacing w:after="120"/>
    </w:pPr>
  </w:style>
  <w:style w:type="character" w:customStyle="1" w:styleId="BodyTextChar">
    <w:name w:val="Body Text Char"/>
    <w:basedOn w:val="DefaultParagraphFont"/>
    <w:link w:val="BodyText"/>
    <w:rsid w:val="001E14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Jeffrey Kish</cp:lastModifiedBy>
  <cp:revision>3</cp:revision>
  <dcterms:created xsi:type="dcterms:W3CDTF">2018-05-10T21:48:00Z</dcterms:created>
  <dcterms:modified xsi:type="dcterms:W3CDTF">2018-05-11T15:18:00Z</dcterms:modified>
</cp:coreProperties>
</file>