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7BE" w:rsidRPr="00FE1DBC" w:rsidRDefault="007C37BE" w:rsidP="007C37BE">
      <w:pPr>
        <w:widowControl w:val="0"/>
        <w:rPr>
          <w:b/>
        </w:rPr>
      </w:pPr>
    </w:p>
    <w:p w:rsidR="004545C8" w:rsidRDefault="004545C8" w:rsidP="004545C8">
      <w:pPr>
        <w:pStyle w:val="Heading1"/>
        <w:keepNext w:val="0"/>
        <w:tabs>
          <w:tab w:val="clear" w:pos="-720"/>
          <w:tab w:val="left" w:pos="720"/>
        </w:tabs>
        <w:rPr>
          <w:rFonts w:ascii="Arial" w:hAnsi="Arial" w:cs="Arial"/>
          <w:b w:val="0"/>
          <w:sz w:val="32"/>
          <w:szCs w:val="32"/>
        </w:rPr>
      </w:pPr>
      <w:r>
        <w:rPr>
          <w:rFonts w:ascii="Arial" w:hAnsi="Arial" w:cs="Arial"/>
          <w:sz w:val="32"/>
          <w:szCs w:val="32"/>
        </w:rPr>
        <w:t>Unit 1 Outline</w:t>
      </w:r>
    </w:p>
    <w:p w:rsidR="004545C8" w:rsidRDefault="004545C8" w:rsidP="004545C8">
      <w:pPr>
        <w:suppressAutoHyphens/>
        <w:jc w:val="both"/>
        <w:rPr>
          <w:b/>
          <w:spacing w:val="-3"/>
        </w:rPr>
      </w:pPr>
    </w:p>
    <w:p w:rsidR="004545C8" w:rsidRDefault="004545C8" w:rsidP="004545C8">
      <w:pPr>
        <w:suppressAutoHyphens/>
        <w:jc w:val="both"/>
        <w:rPr>
          <w:b/>
          <w:spacing w:val="-3"/>
        </w:rPr>
      </w:pPr>
    </w:p>
    <w:p w:rsidR="004545C8" w:rsidRDefault="004545C8" w:rsidP="004545C8">
      <w:pPr>
        <w:suppressAutoHyphens/>
        <w:rPr>
          <w:spacing w:val="-3"/>
        </w:rPr>
      </w:pPr>
      <w:r>
        <w:rPr>
          <w:b/>
          <w:spacing w:val="-3"/>
        </w:rPr>
        <w:t>Learning Objectives</w:t>
      </w:r>
    </w:p>
    <w:p w:rsidR="004545C8" w:rsidRDefault="004545C8" w:rsidP="004545C8">
      <w:pPr>
        <w:suppressAutoHyphens/>
        <w:rPr>
          <w:spacing w:val="-3"/>
        </w:rPr>
      </w:pPr>
    </w:p>
    <w:p w:rsidR="004545C8" w:rsidRDefault="004545C8" w:rsidP="004545C8">
      <w:pPr>
        <w:suppressAutoHyphens/>
        <w:rPr>
          <w:spacing w:val="-3"/>
        </w:rPr>
      </w:pPr>
      <w:r>
        <w:rPr>
          <w:spacing w:val="-3"/>
        </w:rPr>
        <w:t xml:space="preserve">Study of </w:t>
      </w:r>
      <w:proofErr w:type="gramStart"/>
      <w:r>
        <w:rPr>
          <w:spacing w:val="-3"/>
        </w:rPr>
        <w:t>this  unit</w:t>
      </w:r>
      <w:proofErr w:type="gramEnd"/>
      <w:r>
        <w:rPr>
          <w:spacing w:val="-3"/>
        </w:rPr>
        <w:t xml:space="preserve"> should enable the student to</w:t>
      </w:r>
    </w:p>
    <w:p w:rsidR="004545C8" w:rsidRDefault="004545C8" w:rsidP="004545C8">
      <w:pPr>
        <w:pStyle w:val="T1st"/>
        <w:widowControl w:val="0"/>
        <w:numPr>
          <w:ilvl w:val="0"/>
          <w:numId w:val="49"/>
        </w:numPr>
        <w:spacing w:line="240" w:lineRule="auto"/>
        <w:ind w:left="720"/>
        <w:jc w:val="left"/>
        <w:rPr>
          <w:rFonts w:ascii="Times New Roman" w:hAnsi="Times New Roman" w:cs="Times New Roman"/>
          <w:sz w:val="24"/>
          <w:szCs w:val="24"/>
        </w:rPr>
      </w:pPr>
      <w:r>
        <w:rPr>
          <w:rFonts w:ascii="Times New Roman" w:hAnsi="Times New Roman" w:cs="Times New Roman"/>
          <w:sz w:val="24"/>
          <w:szCs w:val="24"/>
        </w:rPr>
        <w:t>describe the type of assignments that an appraiser can receive;</w:t>
      </w:r>
    </w:p>
    <w:p w:rsidR="004545C8" w:rsidRDefault="004545C8" w:rsidP="004545C8">
      <w:pPr>
        <w:pStyle w:val="T1st"/>
        <w:widowControl w:val="0"/>
        <w:numPr>
          <w:ilvl w:val="0"/>
          <w:numId w:val="49"/>
        </w:numPr>
        <w:spacing w:line="240" w:lineRule="auto"/>
        <w:ind w:left="720"/>
        <w:jc w:val="left"/>
        <w:rPr>
          <w:rFonts w:ascii="Times New Roman" w:hAnsi="Times New Roman" w:cs="Times New Roman"/>
          <w:sz w:val="24"/>
          <w:szCs w:val="24"/>
        </w:rPr>
      </w:pPr>
      <w:r>
        <w:rPr>
          <w:rFonts w:ascii="Times New Roman" w:hAnsi="Times New Roman" w:cs="Times New Roman"/>
          <w:sz w:val="24"/>
          <w:szCs w:val="24"/>
        </w:rPr>
        <w:t>explain how the savings and loan crisis of the 1980s led to appraiser licensing;</w:t>
      </w:r>
    </w:p>
    <w:p w:rsidR="004545C8" w:rsidRDefault="004545C8" w:rsidP="004545C8">
      <w:pPr>
        <w:pStyle w:val="T1st"/>
        <w:widowControl w:val="0"/>
        <w:numPr>
          <w:ilvl w:val="0"/>
          <w:numId w:val="49"/>
        </w:numPr>
        <w:spacing w:line="240" w:lineRule="auto"/>
        <w:ind w:left="720"/>
        <w:jc w:val="left"/>
        <w:rPr>
          <w:rFonts w:ascii="Times New Roman" w:hAnsi="Times New Roman" w:cs="Times New Roman"/>
          <w:sz w:val="24"/>
          <w:szCs w:val="24"/>
        </w:rPr>
      </w:pPr>
      <w:r>
        <w:rPr>
          <w:rFonts w:ascii="Times New Roman" w:hAnsi="Times New Roman" w:cs="Times New Roman"/>
          <w:sz w:val="24"/>
          <w:szCs w:val="24"/>
        </w:rPr>
        <w:t>name the organization that assists Congress by developing appraiser and appraisal criteria;</w:t>
      </w:r>
    </w:p>
    <w:p w:rsidR="004545C8" w:rsidRDefault="004545C8" w:rsidP="004545C8">
      <w:pPr>
        <w:pStyle w:val="T1st"/>
        <w:widowControl w:val="0"/>
        <w:numPr>
          <w:ilvl w:val="0"/>
          <w:numId w:val="49"/>
        </w:numPr>
        <w:spacing w:line="240" w:lineRule="auto"/>
        <w:ind w:left="720"/>
        <w:jc w:val="left"/>
        <w:rPr>
          <w:rFonts w:ascii="Times New Roman" w:hAnsi="Times New Roman" w:cs="Times New Roman"/>
          <w:sz w:val="24"/>
          <w:szCs w:val="24"/>
        </w:rPr>
      </w:pPr>
      <w:r>
        <w:rPr>
          <w:rFonts w:ascii="Times New Roman" w:hAnsi="Times New Roman" w:cs="Times New Roman"/>
          <w:sz w:val="24"/>
          <w:szCs w:val="24"/>
        </w:rPr>
        <w:t>identify and explain the qualification criteria for the four categories of appraiser licensing;</w:t>
      </w:r>
    </w:p>
    <w:p w:rsidR="004545C8" w:rsidRDefault="004545C8" w:rsidP="004545C8">
      <w:pPr>
        <w:pStyle w:val="T1st"/>
        <w:widowControl w:val="0"/>
        <w:numPr>
          <w:ilvl w:val="0"/>
          <w:numId w:val="49"/>
        </w:numPr>
        <w:spacing w:line="240" w:lineRule="auto"/>
        <w:ind w:left="720"/>
        <w:jc w:val="left"/>
        <w:rPr>
          <w:rFonts w:ascii="Times New Roman" w:hAnsi="Times New Roman" w:cs="Times New Roman"/>
          <w:sz w:val="24"/>
          <w:szCs w:val="24"/>
        </w:rPr>
      </w:pPr>
      <w:r>
        <w:rPr>
          <w:rFonts w:ascii="Times New Roman" w:hAnsi="Times New Roman" w:cs="Times New Roman"/>
          <w:sz w:val="24"/>
          <w:szCs w:val="24"/>
        </w:rPr>
        <w:t>recognize other federal regulations that have an impact on appraisal practice; and</w:t>
      </w:r>
    </w:p>
    <w:p w:rsidR="004545C8" w:rsidRDefault="004545C8" w:rsidP="004545C8">
      <w:pPr>
        <w:pStyle w:val="T1st"/>
        <w:widowControl w:val="0"/>
        <w:numPr>
          <w:ilvl w:val="0"/>
          <w:numId w:val="49"/>
        </w:numPr>
        <w:spacing w:line="240" w:lineRule="auto"/>
        <w:ind w:left="720"/>
        <w:jc w:val="left"/>
        <w:rPr>
          <w:rFonts w:ascii="Times New Roman" w:hAnsi="Times New Roman" w:cs="Times New Roman"/>
          <w:sz w:val="24"/>
          <w:szCs w:val="24"/>
        </w:rPr>
      </w:pPr>
      <w:proofErr w:type="gramStart"/>
      <w:r>
        <w:rPr>
          <w:rFonts w:ascii="Times New Roman" w:hAnsi="Times New Roman" w:cs="Times New Roman"/>
          <w:sz w:val="24"/>
          <w:szCs w:val="24"/>
        </w:rPr>
        <w:t>list</w:t>
      </w:r>
      <w:proofErr w:type="gramEnd"/>
      <w:r>
        <w:rPr>
          <w:rFonts w:ascii="Times New Roman" w:hAnsi="Times New Roman" w:cs="Times New Roman"/>
          <w:sz w:val="24"/>
          <w:szCs w:val="24"/>
        </w:rPr>
        <w:t xml:space="preserve"> the major appraisal trade groups.</w:t>
      </w:r>
    </w:p>
    <w:p w:rsidR="004545C8" w:rsidRDefault="004545C8" w:rsidP="004545C8">
      <w:pPr>
        <w:suppressAutoHyphens/>
        <w:rPr>
          <w:spacing w:val="-3"/>
        </w:rPr>
      </w:pPr>
    </w:p>
    <w:p w:rsidR="004545C8" w:rsidRDefault="004545C8" w:rsidP="004545C8">
      <w:pPr>
        <w:suppressAutoHyphens/>
        <w:rPr>
          <w:spacing w:val="-3"/>
        </w:rPr>
      </w:pPr>
    </w:p>
    <w:p w:rsidR="004545C8" w:rsidRDefault="004545C8" w:rsidP="004545C8">
      <w:pPr>
        <w:suppressAutoHyphens/>
        <w:rPr>
          <w:spacing w:val="-3"/>
        </w:rPr>
      </w:pPr>
      <w:r>
        <w:rPr>
          <w:b/>
          <w:spacing w:val="-3"/>
        </w:rPr>
        <w:t>Unit Outline</w:t>
      </w:r>
    </w:p>
    <w:p w:rsidR="004545C8" w:rsidRDefault="004545C8" w:rsidP="004545C8">
      <w:pPr>
        <w:pStyle w:val="EndnoteText"/>
        <w:rPr>
          <w:szCs w:val="24"/>
        </w:rPr>
      </w:pPr>
    </w:p>
    <w:p w:rsidR="004545C8" w:rsidRDefault="004545C8" w:rsidP="004545C8">
      <w:pPr>
        <w:pStyle w:val="EndnoteText"/>
        <w:rPr>
          <w:szCs w:val="24"/>
        </w:rPr>
      </w:pPr>
      <w:r>
        <w:rPr>
          <w:szCs w:val="24"/>
        </w:rPr>
        <w:t>I.</w:t>
      </w:r>
      <w:r>
        <w:rPr>
          <w:szCs w:val="24"/>
        </w:rPr>
        <w:tab/>
        <w:t>Overview</w:t>
      </w:r>
    </w:p>
    <w:p w:rsidR="004545C8" w:rsidRDefault="004545C8" w:rsidP="004545C8">
      <w:pPr>
        <w:pStyle w:val="BodyTextIndent"/>
        <w:tabs>
          <w:tab w:val="clear" w:pos="-720"/>
          <w:tab w:val="clear" w:pos="0"/>
          <w:tab w:val="left" w:pos="720"/>
        </w:tabs>
        <w:suppressAutoHyphens w:val="0"/>
        <w:rPr>
          <w:spacing w:val="0"/>
          <w:szCs w:val="24"/>
        </w:rPr>
      </w:pPr>
    </w:p>
    <w:p w:rsidR="004545C8" w:rsidRDefault="004545C8" w:rsidP="004545C8">
      <w:pPr>
        <w:pStyle w:val="BodyTextIndent"/>
        <w:tabs>
          <w:tab w:val="clear" w:pos="-720"/>
          <w:tab w:val="clear" w:pos="0"/>
          <w:tab w:val="left" w:pos="720"/>
        </w:tabs>
        <w:suppressAutoHyphens w:val="0"/>
        <w:rPr>
          <w:szCs w:val="24"/>
        </w:rPr>
      </w:pPr>
      <w:r>
        <w:rPr>
          <w:spacing w:val="0"/>
          <w:szCs w:val="24"/>
        </w:rPr>
        <w:t>II.</w:t>
      </w:r>
      <w:r>
        <w:rPr>
          <w:spacing w:val="0"/>
          <w:szCs w:val="24"/>
        </w:rPr>
        <w:tab/>
        <w:t>The Appraiser's Work—the professional real estate appraiser provides an opinion of the value of real property, usually in a written appraisal report</w:t>
      </w:r>
    </w:p>
    <w:p w:rsidR="004545C8" w:rsidRDefault="004545C8" w:rsidP="004545C8">
      <w:pPr>
        <w:suppressAutoHyphens/>
        <w:ind w:left="360" w:firstLine="360"/>
        <w:rPr>
          <w:spacing w:val="-3"/>
        </w:rPr>
      </w:pPr>
      <w:r>
        <w:rPr>
          <w:spacing w:val="-3"/>
        </w:rPr>
        <w:t>A.</w:t>
      </w:r>
      <w:r>
        <w:rPr>
          <w:spacing w:val="-3"/>
        </w:rPr>
        <w:tab/>
        <w:t>Assignments available</w:t>
      </w:r>
    </w:p>
    <w:p w:rsidR="004545C8" w:rsidRDefault="004545C8" w:rsidP="004545C8">
      <w:pPr>
        <w:suppressAutoHyphens/>
        <w:ind w:left="720" w:firstLine="720"/>
        <w:rPr>
          <w:spacing w:val="-3"/>
        </w:rPr>
      </w:pPr>
      <w:r>
        <w:rPr>
          <w:spacing w:val="-3"/>
        </w:rPr>
        <w:t>1.</w:t>
      </w:r>
      <w:r>
        <w:rPr>
          <w:spacing w:val="-3"/>
        </w:rPr>
        <w:tab/>
      </w:r>
      <w:proofErr w:type="gramStart"/>
      <w:r>
        <w:rPr>
          <w:spacing w:val="-3"/>
        </w:rPr>
        <w:t>In</w:t>
      </w:r>
      <w:proofErr w:type="gramEnd"/>
      <w:r>
        <w:rPr>
          <w:spacing w:val="-3"/>
        </w:rPr>
        <w:t xml:space="preserve"> a real estate transaction involving either a sale or lease</w:t>
      </w:r>
    </w:p>
    <w:p w:rsidR="004545C8" w:rsidRDefault="004545C8" w:rsidP="004545C8">
      <w:pPr>
        <w:suppressAutoHyphens/>
        <w:ind w:left="2160" w:hanging="720"/>
        <w:rPr>
          <w:spacing w:val="-3"/>
        </w:rPr>
      </w:pPr>
      <w:r>
        <w:rPr>
          <w:spacing w:val="-3"/>
        </w:rPr>
        <w:t>2.</w:t>
      </w:r>
      <w:r>
        <w:rPr>
          <w:spacing w:val="-3"/>
        </w:rPr>
        <w:tab/>
        <w:t>Other purposes—determining insurance value or development costs, assessing property for taxes, and so on</w:t>
      </w:r>
    </w:p>
    <w:p w:rsidR="004545C8" w:rsidRDefault="004545C8" w:rsidP="004545C8">
      <w:pPr>
        <w:suppressAutoHyphens/>
        <w:ind w:left="360" w:firstLine="360"/>
        <w:rPr>
          <w:spacing w:val="-3"/>
        </w:rPr>
      </w:pPr>
      <w:r>
        <w:rPr>
          <w:spacing w:val="-3"/>
        </w:rPr>
        <w:t>B.</w:t>
      </w:r>
      <w:r>
        <w:rPr>
          <w:spacing w:val="-3"/>
        </w:rPr>
        <w:tab/>
        <w:t>Employment opportunities</w:t>
      </w:r>
    </w:p>
    <w:p w:rsidR="004545C8" w:rsidRDefault="004545C8" w:rsidP="004545C8">
      <w:pPr>
        <w:suppressAutoHyphens/>
        <w:ind w:left="360" w:firstLine="360"/>
        <w:rPr>
          <w:spacing w:val="-3"/>
        </w:rPr>
      </w:pPr>
      <w:r>
        <w:rPr>
          <w:spacing w:val="-3"/>
        </w:rPr>
        <w:t>C.</w:t>
      </w:r>
      <w:r>
        <w:rPr>
          <w:spacing w:val="-3"/>
        </w:rPr>
        <w:tab/>
        <w:t>Appraiser compensation</w:t>
      </w:r>
    </w:p>
    <w:p w:rsidR="004545C8" w:rsidRDefault="004545C8" w:rsidP="004545C8">
      <w:pPr>
        <w:pStyle w:val="Heading2"/>
        <w:keepNext w:val="0"/>
        <w:rPr>
          <w:szCs w:val="24"/>
        </w:rPr>
      </w:pPr>
    </w:p>
    <w:p w:rsidR="004545C8" w:rsidRDefault="004545C8" w:rsidP="004545C8">
      <w:pPr>
        <w:pStyle w:val="Heading2"/>
        <w:keepNext w:val="0"/>
        <w:rPr>
          <w:szCs w:val="24"/>
        </w:rPr>
      </w:pPr>
      <w:r>
        <w:rPr>
          <w:szCs w:val="24"/>
        </w:rPr>
        <w:t>Exercise 1-1</w:t>
      </w:r>
    </w:p>
    <w:p w:rsidR="004545C8" w:rsidRDefault="004545C8" w:rsidP="004545C8">
      <w:pPr>
        <w:pStyle w:val="TOC6"/>
        <w:ind w:left="0" w:firstLine="0"/>
        <w:rPr>
          <w:szCs w:val="24"/>
        </w:rPr>
      </w:pPr>
    </w:p>
    <w:p w:rsidR="004545C8" w:rsidRDefault="004545C8" w:rsidP="004545C8">
      <w:pPr>
        <w:pStyle w:val="TOC6"/>
        <w:ind w:left="0" w:firstLine="0"/>
        <w:rPr>
          <w:szCs w:val="24"/>
        </w:rPr>
      </w:pPr>
      <w:r>
        <w:rPr>
          <w:szCs w:val="24"/>
        </w:rPr>
        <w:t>III.</w:t>
      </w:r>
      <w:r>
        <w:rPr>
          <w:szCs w:val="24"/>
        </w:rPr>
        <w:tab/>
        <w:t>Licensing and Certification</w:t>
      </w:r>
    </w:p>
    <w:p w:rsidR="004545C8" w:rsidRDefault="004545C8" w:rsidP="004545C8">
      <w:pPr>
        <w:ind w:left="1440" w:hanging="720"/>
      </w:pPr>
      <w:r>
        <w:t>A.</w:t>
      </w:r>
      <w:r>
        <w:tab/>
        <w:t>FIRREA—Financial Institutions Reform, Recovery, and Enforcement Act of 1989</w:t>
      </w:r>
    </w:p>
    <w:p w:rsidR="004545C8" w:rsidRDefault="004545C8" w:rsidP="004545C8">
      <w:pPr>
        <w:pStyle w:val="BodyTextIndent2"/>
        <w:ind w:left="2160"/>
        <w:rPr>
          <w:szCs w:val="24"/>
        </w:rPr>
      </w:pPr>
      <w:r>
        <w:rPr>
          <w:szCs w:val="24"/>
        </w:rPr>
        <w:t>1.</w:t>
      </w:r>
      <w:r>
        <w:rPr>
          <w:szCs w:val="24"/>
        </w:rPr>
        <w:tab/>
        <w:t>Office of Thrift Supervision and Housing Finance Board—established by FIRREA to supervise savings and loans</w:t>
      </w:r>
    </w:p>
    <w:p w:rsidR="004545C8" w:rsidRDefault="004545C8" w:rsidP="004545C8">
      <w:pPr>
        <w:suppressAutoHyphens/>
        <w:ind w:left="2160" w:hanging="720"/>
        <w:rPr>
          <w:spacing w:val="-3"/>
        </w:rPr>
      </w:pPr>
      <w:r>
        <w:rPr>
          <w:spacing w:val="-3"/>
        </w:rPr>
        <w:t>2.</w:t>
      </w:r>
      <w:r>
        <w:rPr>
          <w:spacing w:val="-3"/>
        </w:rPr>
        <w:tab/>
        <w:t>Federal Deposit Insurance Corporation (FDIC)—responsible for insuring all deposits in participating banks and savings and loan associations</w:t>
      </w:r>
    </w:p>
    <w:p w:rsidR="004545C8" w:rsidRDefault="004545C8" w:rsidP="004545C8">
      <w:pPr>
        <w:ind w:left="2160" w:hanging="720"/>
      </w:pPr>
      <w:r>
        <w:rPr>
          <w:spacing w:val="-3"/>
        </w:rPr>
        <w:t>3.</w:t>
      </w:r>
      <w:r>
        <w:rPr>
          <w:spacing w:val="-3"/>
        </w:rPr>
        <w:tab/>
        <w:t>Resolution Trust Corporation—dissolved in 1996 and duties taken over by FDIC</w:t>
      </w:r>
      <w:r>
        <w:tab/>
      </w:r>
    </w:p>
    <w:p w:rsidR="004545C8" w:rsidRDefault="004545C8" w:rsidP="004545C8">
      <w:pPr>
        <w:ind w:left="360" w:firstLine="360"/>
      </w:pPr>
      <w:r>
        <w:t>B.</w:t>
      </w:r>
      <w:r>
        <w:tab/>
        <w:t xml:space="preserve">Appraiser </w:t>
      </w:r>
      <w:proofErr w:type="gramStart"/>
      <w:r>
        <w:t>Licensing—</w:t>
      </w:r>
      <w:proofErr w:type="gramEnd"/>
      <w:r>
        <w:t>required in federally related transactions</w:t>
      </w:r>
    </w:p>
    <w:p w:rsidR="004545C8" w:rsidRDefault="004545C8" w:rsidP="004545C8">
      <w:pPr>
        <w:ind w:left="360" w:firstLine="360"/>
      </w:pPr>
      <w:r>
        <w:tab/>
        <w:t>1.</w:t>
      </w:r>
      <w:r>
        <w:tab/>
        <w:t>Thresholds for certified and licensed appraisers</w:t>
      </w:r>
    </w:p>
    <w:p w:rsidR="004545C8" w:rsidRDefault="004545C8" w:rsidP="004545C8">
      <w:pPr>
        <w:ind w:left="2160" w:hanging="720"/>
      </w:pPr>
      <w:r>
        <w:t>2.</w:t>
      </w:r>
      <w:r>
        <w:tab/>
        <w:t>Currently Fannie Mae, Freddy Mac, HUD, and the VA require the use of state-licensed or state-certified appraisers for every appraisal, as do many lenders and other appraisal clients.</w:t>
      </w:r>
    </w:p>
    <w:p w:rsidR="004545C8" w:rsidRDefault="004545C8" w:rsidP="004545C8">
      <w:pPr>
        <w:ind w:left="2160" w:hanging="720"/>
      </w:pPr>
      <w:r>
        <w:lastRenderedPageBreak/>
        <w:t>3.</w:t>
      </w:r>
      <w:r>
        <w:tab/>
        <w:t xml:space="preserve">In 2018, FDIC raised the threshold for appraisals of nonresidential properties </w:t>
      </w:r>
    </w:p>
    <w:p w:rsidR="004545C8" w:rsidRDefault="004545C8" w:rsidP="004545C8">
      <w:r>
        <w:tab/>
        <w:t>C.</w:t>
      </w:r>
      <w:r>
        <w:tab/>
        <w:t>The Appraisal Foundation—a nonprofit corporation established in 1987</w:t>
      </w:r>
    </w:p>
    <w:p w:rsidR="004545C8" w:rsidRDefault="004545C8" w:rsidP="004545C8">
      <w:pPr>
        <w:ind w:left="2160" w:hanging="720"/>
      </w:pPr>
      <w:r>
        <w:t>1.</w:t>
      </w:r>
      <w:r>
        <w:tab/>
        <w:t xml:space="preserve">Appraisal Standards Board (ASB) works on the </w:t>
      </w:r>
      <w:r>
        <w:rPr>
          <w:i/>
        </w:rPr>
        <w:t>Uniform Standards of Professional Appraisal Practice (USPAP)</w:t>
      </w:r>
    </w:p>
    <w:p w:rsidR="004545C8" w:rsidRDefault="004545C8" w:rsidP="004545C8">
      <w:pPr>
        <w:ind w:left="2160" w:hanging="720"/>
      </w:pPr>
      <w:r>
        <w:t xml:space="preserve">2. </w:t>
      </w:r>
      <w:r>
        <w:tab/>
        <w:t>Appraiser Qualifications Board (AQB) works on education and experience requirements for licensing and certification</w:t>
      </w:r>
    </w:p>
    <w:p w:rsidR="004545C8" w:rsidRDefault="004545C8" w:rsidP="004545C8">
      <w:pPr>
        <w:ind w:left="2160" w:hanging="720"/>
      </w:pPr>
      <w:r>
        <w:t>3.</w:t>
      </w:r>
      <w:r>
        <w:tab/>
        <w:t>Appraisal Practices Board (APB) issues voluntary guidance to appraisers on emerging valuation issues</w:t>
      </w:r>
    </w:p>
    <w:p w:rsidR="004545C8" w:rsidRDefault="004545C8" w:rsidP="004545C8">
      <w:pPr>
        <w:suppressAutoHyphens/>
        <w:ind w:firstLine="720"/>
        <w:rPr>
          <w:spacing w:val="-3"/>
        </w:rPr>
      </w:pPr>
      <w:r>
        <w:rPr>
          <w:spacing w:val="-3"/>
        </w:rPr>
        <w:t>D.</w:t>
      </w:r>
      <w:r>
        <w:rPr>
          <w:spacing w:val="-3"/>
        </w:rPr>
        <w:tab/>
        <w:t>Qualifications of an appraiser</w:t>
      </w:r>
    </w:p>
    <w:p w:rsidR="004545C8" w:rsidRDefault="004545C8" w:rsidP="004545C8">
      <w:pPr>
        <w:suppressAutoHyphens/>
        <w:ind w:left="720" w:firstLine="720"/>
        <w:rPr>
          <w:spacing w:val="-3"/>
        </w:rPr>
      </w:pPr>
      <w:r>
        <w:rPr>
          <w:spacing w:val="-3"/>
        </w:rPr>
        <w:t>1.</w:t>
      </w:r>
      <w:r>
        <w:rPr>
          <w:spacing w:val="-3"/>
        </w:rPr>
        <w:tab/>
        <w:t>Education—specialized and general courses</w:t>
      </w:r>
    </w:p>
    <w:p w:rsidR="004545C8" w:rsidRDefault="004545C8" w:rsidP="004545C8">
      <w:pPr>
        <w:suppressAutoHyphens/>
        <w:rPr>
          <w:spacing w:val="-3"/>
        </w:rPr>
      </w:pPr>
      <w:r>
        <w:rPr>
          <w:spacing w:val="-3"/>
        </w:rPr>
        <w:tab/>
      </w:r>
      <w:r>
        <w:rPr>
          <w:spacing w:val="-3"/>
        </w:rPr>
        <w:tab/>
      </w:r>
      <w:r>
        <w:rPr>
          <w:spacing w:val="-3"/>
        </w:rPr>
        <w:tab/>
        <w:t>a.</w:t>
      </w:r>
      <w:r>
        <w:rPr>
          <w:spacing w:val="-3"/>
        </w:rPr>
        <w:tab/>
        <w:t>Appraiser Trainee</w:t>
      </w:r>
    </w:p>
    <w:p w:rsidR="004545C8" w:rsidRDefault="004545C8" w:rsidP="004545C8">
      <w:pPr>
        <w:suppressAutoHyphens/>
        <w:rPr>
          <w:spacing w:val="-3"/>
        </w:rPr>
      </w:pPr>
      <w:r>
        <w:rPr>
          <w:spacing w:val="-3"/>
        </w:rPr>
        <w:tab/>
      </w:r>
      <w:r>
        <w:rPr>
          <w:spacing w:val="-3"/>
        </w:rPr>
        <w:tab/>
      </w:r>
      <w:r>
        <w:rPr>
          <w:spacing w:val="-3"/>
        </w:rPr>
        <w:tab/>
        <w:t xml:space="preserve">b. </w:t>
      </w:r>
      <w:r>
        <w:rPr>
          <w:spacing w:val="-3"/>
        </w:rPr>
        <w:tab/>
        <w:t>Licensed Real Property Appraiser</w:t>
      </w:r>
    </w:p>
    <w:p w:rsidR="004545C8" w:rsidRDefault="004545C8" w:rsidP="004545C8">
      <w:pPr>
        <w:suppressAutoHyphens/>
        <w:rPr>
          <w:spacing w:val="-3"/>
        </w:rPr>
      </w:pPr>
      <w:r>
        <w:rPr>
          <w:spacing w:val="-3"/>
        </w:rPr>
        <w:tab/>
      </w:r>
      <w:r>
        <w:rPr>
          <w:spacing w:val="-3"/>
        </w:rPr>
        <w:tab/>
      </w:r>
      <w:r>
        <w:rPr>
          <w:spacing w:val="-3"/>
        </w:rPr>
        <w:tab/>
        <w:t xml:space="preserve">c. </w:t>
      </w:r>
      <w:r>
        <w:rPr>
          <w:spacing w:val="-3"/>
        </w:rPr>
        <w:tab/>
        <w:t>Certified Residential Real Property Appraiser</w:t>
      </w:r>
    </w:p>
    <w:p w:rsidR="004545C8" w:rsidRDefault="004545C8" w:rsidP="004545C8">
      <w:pPr>
        <w:suppressAutoHyphens/>
        <w:rPr>
          <w:spacing w:val="-3"/>
        </w:rPr>
      </w:pPr>
      <w:r>
        <w:rPr>
          <w:spacing w:val="-3"/>
        </w:rPr>
        <w:tab/>
      </w:r>
      <w:r>
        <w:rPr>
          <w:spacing w:val="-3"/>
        </w:rPr>
        <w:tab/>
      </w:r>
      <w:r>
        <w:rPr>
          <w:spacing w:val="-3"/>
        </w:rPr>
        <w:tab/>
        <w:t xml:space="preserve">d. </w:t>
      </w:r>
      <w:r>
        <w:rPr>
          <w:spacing w:val="-3"/>
        </w:rPr>
        <w:tab/>
        <w:t>Certified General Real Property Appraiser</w:t>
      </w:r>
    </w:p>
    <w:p w:rsidR="004545C8" w:rsidRDefault="004545C8" w:rsidP="004545C8">
      <w:pPr>
        <w:suppressAutoHyphens/>
        <w:ind w:left="720" w:firstLine="720"/>
        <w:rPr>
          <w:spacing w:val="-3"/>
        </w:rPr>
      </w:pPr>
      <w:r>
        <w:rPr>
          <w:spacing w:val="-3"/>
        </w:rPr>
        <w:t>2.</w:t>
      </w:r>
      <w:r>
        <w:rPr>
          <w:spacing w:val="-3"/>
        </w:rPr>
        <w:tab/>
        <w:t>Experience—appraisal experience</w:t>
      </w:r>
    </w:p>
    <w:p w:rsidR="004545C8" w:rsidRDefault="004545C8" w:rsidP="004545C8">
      <w:pPr>
        <w:widowControl w:val="0"/>
        <w:suppressAutoHyphens/>
        <w:snapToGrid w:val="0"/>
        <w:ind w:left="2160" w:hanging="720"/>
        <w:rPr>
          <w:spacing w:val="-3"/>
        </w:rPr>
      </w:pPr>
      <w:r>
        <w:rPr>
          <w:spacing w:val="-3"/>
        </w:rPr>
        <w:t>3.</w:t>
      </w:r>
      <w:r>
        <w:rPr>
          <w:spacing w:val="-3"/>
        </w:rPr>
        <w:tab/>
        <w:t>Objectivity—the appraiser must remain objective and have no personal interest in the outcome of the appraisal</w:t>
      </w:r>
    </w:p>
    <w:p w:rsidR="004545C8" w:rsidRDefault="004545C8" w:rsidP="004545C8">
      <w:pPr>
        <w:suppressAutoHyphens/>
        <w:jc w:val="center"/>
        <w:rPr>
          <w:b/>
          <w:spacing w:val="-3"/>
        </w:rPr>
      </w:pPr>
    </w:p>
    <w:p w:rsidR="004545C8" w:rsidRDefault="004545C8" w:rsidP="004545C8">
      <w:pPr>
        <w:suppressAutoHyphens/>
        <w:jc w:val="center"/>
        <w:rPr>
          <w:b/>
          <w:spacing w:val="-3"/>
        </w:rPr>
      </w:pPr>
      <w:r>
        <w:rPr>
          <w:b/>
          <w:spacing w:val="-3"/>
        </w:rPr>
        <w:t>Exercise 1-2</w:t>
      </w:r>
    </w:p>
    <w:p w:rsidR="004545C8" w:rsidRDefault="004545C8" w:rsidP="004545C8">
      <w:pPr>
        <w:suppressAutoHyphens/>
        <w:jc w:val="center"/>
        <w:rPr>
          <w:spacing w:val="-3"/>
        </w:rPr>
      </w:pPr>
    </w:p>
    <w:p w:rsidR="004545C8" w:rsidRDefault="004545C8" w:rsidP="004545C8">
      <w:pPr>
        <w:suppressAutoHyphens/>
      </w:pPr>
      <w:r>
        <w:rPr>
          <w:spacing w:val="-3"/>
        </w:rPr>
        <w:t xml:space="preserve">IV. </w:t>
      </w:r>
      <w:r>
        <w:tab/>
        <w:t>Other Federal Regulation</w:t>
      </w:r>
    </w:p>
    <w:p w:rsidR="004545C8" w:rsidRDefault="004545C8" w:rsidP="004545C8">
      <w:pPr>
        <w:suppressAutoHyphens/>
        <w:ind w:left="1440" w:hanging="720"/>
        <w:rPr>
          <w:spacing w:val="-3"/>
        </w:rPr>
      </w:pPr>
      <w:r>
        <w:rPr>
          <w:spacing w:val="-3"/>
        </w:rPr>
        <w:t>A.</w:t>
      </w:r>
      <w:r>
        <w:rPr>
          <w:spacing w:val="-3"/>
        </w:rPr>
        <w:tab/>
        <w:t>Fair Housing—the Fair Housing Amendments Act, effective March 12, 1989, prohibits discrimination in the selling, brokering, or appraising of residential real property because of race, color, religion, sex, handicap, familial status, or national origin</w:t>
      </w:r>
    </w:p>
    <w:p w:rsidR="004545C8" w:rsidRDefault="004545C8" w:rsidP="004545C8">
      <w:pPr>
        <w:suppressAutoHyphens/>
        <w:rPr>
          <w:spacing w:val="-3"/>
        </w:rPr>
      </w:pPr>
      <w:r>
        <w:rPr>
          <w:spacing w:val="-3"/>
        </w:rPr>
        <w:tab/>
        <w:t>B.</w:t>
      </w:r>
      <w:r>
        <w:rPr>
          <w:spacing w:val="-3"/>
        </w:rPr>
        <w:tab/>
        <w:t>Environmental Concerns</w:t>
      </w:r>
    </w:p>
    <w:p w:rsidR="004545C8" w:rsidRDefault="004545C8" w:rsidP="004545C8">
      <w:pPr>
        <w:suppressAutoHyphens/>
        <w:ind w:left="1440" w:hanging="720"/>
        <w:rPr>
          <w:spacing w:val="-3"/>
        </w:rPr>
      </w:pPr>
      <w:r>
        <w:rPr>
          <w:spacing w:val="-3"/>
        </w:rPr>
        <w:t>C.</w:t>
      </w:r>
      <w:r>
        <w:rPr>
          <w:spacing w:val="-3"/>
        </w:rPr>
        <w:tab/>
        <w:t>Subprime Lending Crisis—rapid price appreciation and easy loan qualification led to risky loans</w:t>
      </w:r>
    </w:p>
    <w:p w:rsidR="004545C8" w:rsidRDefault="004545C8" w:rsidP="004545C8">
      <w:pPr>
        <w:suppressAutoHyphens/>
        <w:rPr>
          <w:spacing w:val="-3"/>
        </w:rPr>
      </w:pPr>
      <w:r>
        <w:rPr>
          <w:spacing w:val="-3"/>
        </w:rPr>
        <w:tab/>
        <w:t>D.</w:t>
      </w:r>
      <w:r>
        <w:rPr>
          <w:spacing w:val="-3"/>
        </w:rPr>
        <w:tab/>
        <w:t>Legislation</w:t>
      </w:r>
    </w:p>
    <w:p w:rsidR="004545C8" w:rsidRDefault="004545C8" w:rsidP="004545C8">
      <w:pPr>
        <w:widowControl w:val="0"/>
        <w:suppressAutoHyphens/>
        <w:snapToGrid w:val="0"/>
        <w:ind w:left="2160" w:hanging="720"/>
        <w:rPr>
          <w:spacing w:val="-3"/>
        </w:rPr>
      </w:pPr>
      <w:r>
        <w:rPr>
          <w:spacing w:val="-3"/>
        </w:rPr>
        <w:t>1.</w:t>
      </w:r>
      <w:r>
        <w:rPr>
          <w:spacing w:val="-3"/>
        </w:rPr>
        <w:tab/>
        <w:t>Housing and Economic Recovery Act of 2008 (HERA) increased levels of FHA-insured and VA-guaranteed loans</w:t>
      </w:r>
    </w:p>
    <w:p w:rsidR="004545C8" w:rsidRDefault="004545C8" w:rsidP="004545C8">
      <w:pPr>
        <w:widowControl w:val="0"/>
        <w:suppressAutoHyphens/>
        <w:snapToGrid w:val="0"/>
        <w:ind w:left="2160" w:hanging="720"/>
        <w:rPr>
          <w:spacing w:val="-3"/>
        </w:rPr>
      </w:pPr>
      <w:r>
        <w:rPr>
          <w:spacing w:val="-3"/>
        </w:rPr>
        <w:t>2.</w:t>
      </w:r>
      <w:r>
        <w:rPr>
          <w:spacing w:val="-3"/>
        </w:rPr>
        <w:tab/>
        <w:t>Federal Housing Finance Agency (FHFA) created by merging Office of Federal Housing Enterprise Oversight and Federal Housing Finance Board</w:t>
      </w:r>
    </w:p>
    <w:p w:rsidR="004545C8" w:rsidRDefault="004545C8" w:rsidP="004545C8">
      <w:pPr>
        <w:widowControl w:val="0"/>
        <w:suppressAutoHyphens/>
        <w:snapToGrid w:val="0"/>
        <w:ind w:left="720" w:firstLine="720"/>
        <w:rPr>
          <w:spacing w:val="-3"/>
        </w:rPr>
      </w:pPr>
      <w:r>
        <w:rPr>
          <w:spacing w:val="-3"/>
        </w:rPr>
        <w:t>3.</w:t>
      </w:r>
      <w:r>
        <w:rPr>
          <w:spacing w:val="-3"/>
        </w:rPr>
        <w:tab/>
        <w:t>FHFA is regulator and conservator of Fannie Mae and Freddie Mac</w:t>
      </w:r>
    </w:p>
    <w:p w:rsidR="004545C8" w:rsidRDefault="004545C8" w:rsidP="004545C8">
      <w:pPr>
        <w:suppressAutoHyphens/>
        <w:ind w:firstLine="720"/>
        <w:rPr>
          <w:spacing w:val="-3"/>
        </w:rPr>
      </w:pPr>
      <w:r>
        <w:rPr>
          <w:spacing w:val="-3"/>
        </w:rPr>
        <w:t>E.</w:t>
      </w:r>
      <w:r>
        <w:rPr>
          <w:spacing w:val="-3"/>
        </w:rPr>
        <w:tab/>
        <w:t>Appraiser Independence Requirements—result of subprime lending crisis</w:t>
      </w:r>
    </w:p>
    <w:p w:rsidR="004545C8" w:rsidRDefault="004545C8" w:rsidP="004545C8">
      <w:pPr>
        <w:widowControl w:val="0"/>
        <w:suppressAutoHyphens/>
        <w:snapToGrid w:val="0"/>
        <w:ind w:left="720" w:firstLine="720"/>
        <w:rPr>
          <w:spacing w:val="-3"/>
        </w:rPr>
      </w:pPr>
      <w:r>
        <w:rPr>
          <w:spacing w:val="-3"/>
        </w:rPr>
        <w:t>1.</w:t>
      </w:r>
      <w:r>
        <w:rPr>
          <w:spacing w:val="-3"/>
        </w:rPr>
        <w:tab/>
        <w:t>Appraiser Independence Requirements took effect October 15, 2010</w:t>
      </w:r>
    </w:p>
    <w:p w:rsidR="004545C8" w:rsidRDefault="004545C8" w:rsidP="004545C8">
      <w:pPr>
        <w:suppressAutoHyphens/>
        <w:ind w:left="1440" w:hanging="720"/>
        <w:rPr>
          <w:spacing w:val="-3"/>
        </w:rPr>
      </w:pPr>
      <w:r>
        <w:rPr>
          <w:spacing w:val="-3"/>
        </w:rPr>
        <w:t xml:space="preserve">F. </w:t>
      </w:r>
      <w:r>
        <w:rPr>
          <w:spacing w:val="-3"/>
        </w:rPr>
        <w:tab/>
        <w:t xml:space="preserve">Professional Standards of Practice—the major appraisal societies have been leaders in establishing standards of appraisal practice as well as in defining ethical conduct </w:t>
      </w:r>
    </w:p>
    <w:p w:rsidR="004545C8" w:rsidRDefault="004545C8" w:rsidP="004545C8">
      <w:pPr>
        <w:suppressAutoHyphens/>
        <w:ind w:left="2160" w:hanging="720"/>
      </w:pPr>
      <w:r>
        <w:t xml:space="preserve">1. </w:t>
      </w:r>
      <w:r>
        <w:tab/>
        <w:t>Standards cover real estate, personal property and business appraisals, as well as other topics</w:t>
      </w:r>
    </w:p>
    <w:p w:rsidR="004545C8" w:rsidRDefault="004545C8" w:rsidP="004545C8">
      <w:pPr>
        <w:suppressAutoHyphens/>
        <w:ind w:left="2160" w:hanging="720"/>
        <w:rPr>
          <w:spacing w:val="-3"/>
        </w:rPr>
      </w:pPr>
      <w:r>
        <w:rPr>
          <w:spacing w:val="-3"/>
        </w:rPr>
        <w:t>2.</w:t>
      </w:r>
      <w:r>
        <w:rPr>
          <w:spacing w:val="-3"/>
        </w:rPr>
        <w:tab/>
        <w:t xml:space="preserve">The </w:t>
      </w:r>
      <w:r>
        <w:rPr>
          <w:i/>
          <w:spacing w:val="-3"/>
        </w:rPr>
        <w:t>Uniform Standards of Professional Appraisal Practice</w:t>
      </w:r>
      <w:r>
        <w:rPr>
          <w:spacing w:val="-3"/>
        </w:rPr>
        <w:t xml:space="preserve"> are interpreted and amended by the Appraisal Foundation on a two-year cycle</w:t>
      </w:r>
    </w:p>
    <w:p w:rsidR="00414A1D" w:rsidRDefault="00414A1D" w:rsidP="004545C8">
      <w:pPr>
        <w:suppressAutoHyphens/>
        <w:ind w:left="2160" w:hanging="720"/>
        <w:rPr>
          <w:spacing w:val="-3"/>
        </w:rPr>
      </w:pPr>
    </w:p>
    <w:p w:rsidR="00414A1D" w:rsidRDefault="00414A1D" w:rsidP="004545C8">
      <w:pPr>
        <w:suppressAutoHyphens/>
        <w:ind w:left="2160" w:hanging="720"/>
        <w:rPr>
          <w:spacing w:val="-3"/>
        </w:rPr>
      </w:pPr>
      <w:bookmarkStart w:id="0" w:name="_GoBack"/>
      <w:bookmarkEnd w:id="0"/>
    </w:p>
    <w:p w:rsidR="004545C8" w:rsidRDefault="004545C8" w:rsidP="004545C8">
      <w:pPr>
        <w:pStyle w:val="Heading2"/>
        <w:keepNext w:val="0"/>
        <w:rPr>
          <w:szCs w:val="24"/>
        </w:rPr>
      </w:pPr>
    </w:p>
    <w:p w:rsidR="004545C8" w:rsidRDefault="004545C8" w:rsidP="004545C8">
      <w:pPr>
        <w:pStyle w:val="Heading2"/>
        <w:keepNext w:val="0"/>
        <w:rPr>
          <w:szCs w:val="24"/>
        </w:rPr>
      </w:pPr>
      <w:r>
        <w:rPr>
          <w:szCs w:val="24"/>
        </w:rPr>
        <w:t>Exercise 1-3</w:t>
      </w:r>
    </w:p>
    <w:p w:rsidR="004545C8" w:rsidRDefault="004545C8" w:rsidP="004545C8">
      <w:pPr>
        <w:suppressAutoHyphens/>
        <w:rPr>
          <w:spacing w:val="-3"/>
        </w:rPr>
      </w:pPr>
    </w:p>
    <w:p w:rsidR="004545C8" w:rsidRDefault="004545C8" w:rsidP="004545C8">
      <w:pPr>
        <w:pStyle w:val="TOC6"/>
        <w:ind w:left="0" w:firstLine="0"/>
        <w:rPr>
          <w:szCs w:val="24"/>
        </w:rPr>
      </w:pPr>
      <w:r>
        <w:rPr>
          <w:szCs w:val="24"/>
        </w:rPr>
        <w:lastRenderedPageBreak/>
        <w:t>V.</w:t>
      </w:r>
      <w:r>
        <w:rPr>
          <w:szCs w:val="24"/>
        </w:rPr>
        <w:tab/>
        <w:t>Professional Groups—major appraisal and related societies</w:t>
      </w:r>
    </w:p>
    <w:p w:rsidR="004545C8" w:rsidRDefault="004545C8" w:rsidP="004545C8">
      <w:pPr>
        <w:ind w:left="1440" w:hanging="720"/>
      </w:pPr>
      <w:r>
        <w:t>A.</w:t>
      </w:r>
      <w:r>
        <w:tab/>
        <w:t>Trade Associations—provide opportunities for education, networking, and legal updates</w:t>
      </w:r>
    </w:p>
    <w:p w:rsidR="004545C8" w:rsidRDefault="004545C8" w:rsidP="004545C8">
      <w:pPr>
        <w:ind w:firstLine="720"/>
      </w:pPr>
      <w:r>
        <w:t>B.</w:t>
      </w:r>
      <w:r>
        <w:tab/>
        <w:t xml:space="preserve">Political action groups are a voice for appraisers </w:t>
      </w:r>
    </w:p>
    <w:p w:rsidR="004545C8" w:rsidRDefault="004545C8" w:rsidP="004545C8">
      <w:pPr>
        <w:pStyle w:val="TOC6"/>
        <w:ind w:left="0" w:firstLine="0"/>
        <w:rPr>
          <w:szCs w:val="24"/>
        </w:rPr>
      </w:pPr>
    </w:p>
    <w:p w:rsidR="004545C8" w:rsidRDefault="004545C8" w:rsidP="004545C8">
      <w:pPr>
        <w:pStyle w:val="TOC6"/>
        <w:ind w:left="0" w:firstLine="0"/>
        <w:rPr>
          <w:szCs w:val="24"/>
        </w:rPr>
      </w:pPr>
      <w:r>
        <w:rPr>
          <w:szCs w:val="24"/>
        </w:rPr>
        <w:t>VI.</w:t>
      </w:r>
      <w:r>
        <w:rPr>
          <w:szCs w:val="24"/>
        </w:rPr>
        <w:tab/>
        <w:t>The Modern Appraisal Office</w:t>
      </w:r>
    </w:p>
    <w:p w:rsidR="004545C8" w:rsidRDefault="004545C8" w:rsidP="004545C8">
      <w:pPr>
        <w:rPr>
          <w:spacing w:val="-3"/>
        </w:rPr>
      </w:pPr>
      <w:r>
        <w:tab/>
      </w:r>
      <w:r>
        <w:rPr>
          <w:spacing w:val="-3"/>
        </w:rPr>
        <w:t>A.</w:t>
      </w:r>
      <w:r>
        <w:rPr>
          <w:spacing w:val="-3"/>
        </w:rPr>
        <w:tab/>
        <w:t>The Backup System</w:t>
      </w:r>
    </w:p>
    <w:p w:rsidR="004545C8" w:rsidRDefault="004545C8" w:rsidP="004545C8">
      <w:pPr>
        <w:suppressAutoHyphens/>
        <w:ind w:firstLine="720"/>
        <w:rPr>
          <w:spacing w:val="-3"/>
        </w:rPr>
      </w:pPr>
      <w:r>
        <w:rPr>
          <w:spacing w:val="-3"/>
        </w:rPr>
        <w:t>B.</w:t>
      </w:r>
      <w:r>
        <w:rPr>
          <w:spacing w:val="-3"/>
        </w:rPr>
        <w:tab/>
        <w:t>The Internet</w:t>
      </w:r>
    </w:p>
    <w:p w:rsidR="004545C8" w:rsidRDefault="004545C8" w:rsidP="004545C8">
      <w:pPr>
        <w:suppressAutoHyphens/>
        <w:ind w:firstLine="720"/>
        <w:rPr>
          <w:spacing w:val="-3"/>
        </w:rPr>
      </w:pPr>
      <w:r>
        <w:rPr>
          <w:spacing w:val="-3"/>
        </w:rPr>
        <w:t>C.</w:t>
      </w:r>
      <w:r>
        <w:rPr>
          <w:spacing w:val="-3"/>
        </w:rPr>
        <w:tab/>
        <w:t>Geographic Information Systems (GIS)</w:t>
      </w:r>
    </w:p>
    <w:p w:rsidR="004545C8" w:rsidRDefault="004545C8" w:rsidP="004545C8">
      <w:pPr>
        <w:suppressAutoHyphens/>
        <w:ind w:firstLine="720"/>
        <w:rPr>
          <w:spacing w:val="-3"/>
        </w:rPr>
      </w:pPr>
      <w:r>
        <w:rPr>
          <w:spacing w:val="-3"/>
        </w:rPr>
        <w:t>D.</w:t>
      </w:r>
      <w:r>
        <w:rPr>
          <w:spacing w:val="-3"/>
        </w:rPr>
        <w:tab/>
        <w:t>The Camera</w:t>
      </w:r>
    </w:p>
    <w:p w:rsidR="004545C8" w:rsidRDefault="004545C8" w:rsidP="004545C8">
      <w:pPr>
        <w:suppressAutoHyphens/>
        <w:ind w:firstLine="720"/>
        <w:rPr>
          <w:spacing w:val="-3"/>
        </w:rPr>
      </w:pPr>
      <w:r>
        <w:rPr>
          <w:spacing w:val="-3"/>
        </w:rPr>
        <w:t>E.</w:t>
      </w:r>
      <w:r>
        <w:rPr>
          <w:spacing w:val="-3"/>
        </w:rPr>
        <w:tab/>
        <w:t>Measuring Devices</w:t>
      </w:r>
    </w:p>
    <w:p w:rsidR="004545C8" w:rsidRDefault="004545C8" w:rsidP="004545C8">
      <w:pPr>
        <w:suppressAutoHyphens/>
        <w:ind w:firstLine="720"/>
        <w:rPr>
          <w:spacing w:val="-3"/>
        </w:rPr>
      </w:pPr>
      <w:r>
        <w:rPr>
          <w:spacing w:val="-3"/>
        </w:rPr>
        <w:t>F.</w:t>
      </w:r>
      <w:r>
        <w:rPr>
          <w:spacing w:val="-3"/>
        </w:rPr>
        <w:tab/>
        <w:t>Use of Technology</w:t>
      </w:r>
    </w:p>
    <w:p w:rsidR="004545C8" w:rsidRDefault="004545C8" w:rsidP="004545C8">
      <w:pPr>
        <w:suppressAutoHyphens/>
        <w:jc w:val="center"/>
        <w:rPr>
          <w:b/>
          <w:spacing w:val="-3"/>
        </w:rPr>
      </w:pPr>
    </w:p>
    <w:p w:rsidR="004545C8" w:rsidRDefault="004545C8" w:rsidP="004545C8">
      <w:pPr>
        <w:suppressAutoHyphens/>
        <w:jc w:val="center"/>
        <w:rPr>
          <w:b/>
          <w:spacing w:val="-3"/>
        </w:rPr>
      </w:pPr>
      <w:r>
        <w:rPr>
          <w:b/>
          <w:spacing w:val="-3"/>
        </w:rPr>
        <w:t>Exercise 1-4</w:t>
      </w:r>
    </w:p>
    <w:p w:rsidR="004545C8" w:rsidRDefault="004545C8" w:rsidP="004545C8">
      <w:pPr>
        <w:suppressAutoHyphens/>
        <w:jc w:val="center"/>
        <w:rPr>
          <w:spacing w:val="-3"/>
        </w:rPr>
      </w:pPr>
    </w:p>
    <w:p w:rsidR="004545C8" w:rsidRDefault="004545C8" w:rsidP="004545C8">
      <w:r>
        <w:t>Summary</w:t>
      </w:r>
    </w:p>
    <w:p w:rsidR="004545C8" w:rsidRDefault="004545C8" w:rsidP="004545C8">
      <w:pPr>
        <w:pStyle w:val="Heading2"/>
        <w:keepNext w:val="0"/>
        <w:jc w:val="left"/>
        <w:rPr>
          <w:b w:val="0"/>
          <w:szCs w:val="24"/>
        </w:rPr>
      </w:pPr>
    </w:p>
    <w:p w:rsidR="004545C8" w:rsidRDefault="004545C8" w:rsidP="004545C8">
      <w:pPr>
        <w:pStyle w:val="Heading2"/>
        <w:keepNext w:val="0"/>
        <w:jc w:val="left"/>
        <w:rPr>
          <w:b w:val="0"/>
          <w:szCs w:val="24"/>
        </w:rPr>
      </w:pPr>
      <w:r>
        <w:rPr>
          <w:b w:val="0"/>
          <w:szCs w:val="24"/>
        </w:rPr>
        <w:t>Review Questions</w:t>
      </w:r>
    </w:p>
    <w:p w:rsidR="004545C8" w:rsidRDefault="004545C8" w:rsidP="004545C8">
      <w:pPr>
        <w:pStyle w:val="ListParagraph"/>
      </w:pPr>
    </w:p>
    <w:p w:rsidR="004545C8" w:rsidRDefault="004545C8" w:rsidP="004545C8">
      <w:pPr>
        <w:pStyle w:val="ListParagraph"/>
      </w:pPr>
    </w:p>
    <w:p w:rsidR="004545C8" w:rsidRDefault="004545C8" w:rsidP="004545C8">
      <w:pPr>
        <w:pStyle w:val="ListParagraph"/>
      </w:pPr>
    </w:p>
    <w:p w:rsidR="004545C8" w:rsidRDefault="004545C8" w:rsidP="004545C8">
      <w:pPr>
        <w:pStyle w:val="ListParagraph"/>
      </w:pPr>
    </w:p>
    <w:p w:rsidR="00517BEC" w:rsidRPr="00517BEC" w:rsidRDefault="00517BEC" w:rsidP="00517BEC">
      <w:pPr>
        <w:autoSpaceDE w:val="0"/>
        <w:autoSpaceDN w:val="0"/>
        <w:adjustRightInd w:val="0"/>
      </w:pPr>
    </w:p>
    <w:p w:rsidR="0001331B" w:rsidRDefault="0001331B" w:rsidP="00517BEC"/>
    <w:sectPr w:rsidR="0001331B" w:rsidSect="002626C4">
      <w:headerReference w:type="default" r:id="rId7"/>
      <w:footerReference w:type="default" r:id="rId8"/>
      <w:headerReference w:type="first" r:id="rId9"/>
      <w:footerReference w:type="firs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45D6" w:rsidRDefault="004345D6">
      <w:r>
        <w:separator/>
      </w:r>
    </w:p>
  </w:endnote>
  <w:endnote w:type="continuationSeparator" w:id="0">
    <w:p w:rsidR="004345D6" w:rsidRDefault="00434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6C4" w:rsidRDefault="002626C4" w:rsidP="002626C4">
    <w:pPr>
      <w:pStyle w:val="Footer"/>
      <w:tabs>
        <w:tab w:val="clear" w:pos="4320"/>
        <w:tab w:val="clear" w:pos="8640"/>
      </w:tabs>
      <w:ind w:firstLine="360"/>
      <w:jc w:val="right"/>
      <w:rPr>
        <w:rFonts w:ascii="Arial" w:hAnsi="Arial" w:cs="Arial"/>
        <w:sz w:val="20"/>
        <w:szCs w:val="20"/>
      </w:rPr>
    </w:pPr>
    <w:r w:rsidRPr="00D25C2E">
      <w:rPr>
        <w:rFonts w:ascii="Arial" w:hAnsi="Arial" w:cs="Arial"/>
        <w:sz w:val="20"/>
        <w:szCs w:val="20"/>
      </w:rPr>
      <w:t>©201</w:t>
    </w:r>
    <w:r w:rsidR="003F5ED6">
      <w:rPr>
        <w:rFonts w:ascii="Arial" w:hAnsi="Arial" w:cs="Arial"/>
        <w:sz w:val="20"/>
        <w:szCs w:val="20"/>
      </w:rPr>
      <w:t>8</w:t>
    </w:r>
    <w:r w:rsidRPr="00D25C2E">
      <w:rPr>
        <w:rFonts w:ascii="Arial" w:hAnsi="Arial" w:cs="Arial"/>
        <w:sz w:val="20"/>
        <w:szCs w:val="20"/>
      </w:rPr>
      <w:t xml:space="preserve"> Kaplan, Inc.</w:t>
    </w:r>
  </w:p>
  <w:p w:rsidR="0075160F" w:rsidRPr="002626C4" w:rsidRDefault="002626C4" w:rsidP="002626C4">
    <w:pPr>
      <w:pStyle w:val="Footer"/>
      <w:tabs>
        <w:tab w:val="clear" w:pos="4320"/>
        <w:tab w:val="clear" w:pos="8640"/>
      </w:tabs>
      <w:ind w:firstLine="360"/>
      <w:jc w:val="right"/>
      <w:rPr>
        <w:rFonts w:ascii="Arial" w:hAnsi="Arial" w:cs="Arial"/>
        <w:sz w:val="20"/>
        <w:szCs w:val="20"/>
      </w:rPr>
    </w:pPr>
    <w:r>
      <w:rPr>
        <w:rFonts w:ascii="Arial" w:hAnsi="Arial" w:cs="Arial"/>
        <w:sz w:val="20"/>
        <w:szCs w:val="20"/>
      </w:rPr>
      <w:t>May be reproduced for educational uses only.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60F" w:rsidRDefault="0075160F" w:rsidP="0001331B">
    <w:pPr>
      <w:pStyle w:val="Footer"/>
      <w:tabs>
        <w:tab w:val="clear" w:pos="4320"/>
        <w:tab w:val="clear" w:pos="8640"/>
      </w:tabs>
      <w:ind w:firstLine="360"/>
      <w:jc w:val="right"/>
      <w:rPr>
        <w:rFonts w:ascii="Arial" w:hAnsi="Arial" w:cs="Arial"/>
        <w:sz w:val="20"/>
        <w:szCs w:val="20"/>
      </w:rPr>
    </w:pPr>
    <w:r w:rsidRPr="00D25C2E">
      <w:rPr>
        <w:rFonts w:ascii="Arial" w:hAnsi="Arial" w:cs="Arial"/>
        <w:sz w:val="20"/>
        <w:szCs w:val="20"/>
      </w:rPr>
      <w:t>©201</w:t>
    </w:r>
    <w:r w:rsidR="00B348DA">
      <w:rPr>
        <w:rFonts w:ascii="Arial" w:hAnsi="Arial" w:cs="Arial"/>
        <w:sz w:val="20"/>
        <w:szCs w:val="20"/>
      </w:rPr>
      <w:t>5</w:t>
    </w:r>
    <w:r w:rsidRPr="00D25C2E">
      <w:rPr>
        <w:rFonts w:ascii="Arial" w:hAnsi="Arial" w:cs="Arial"/>
        <w:sz w:val="20"/>
        <w:szCs w:val="20"/>
      </w:rPr>
      <w:t xml:space="preserve"> Kaplan, Inc.</w:t>
    </w:r>
  </w:p>
  <w:p w:rsidR="00B348DA" w:rsidRPr="00D25C2E" w:rsidRDefault="00B348DA" w:rsidP="0001331B">
    <w:pPr>
      <w:pStyle w:val="Footer"/>
      <w:tabs>
        <w:tab w:val="clear" w:pos="4320"/>
        <w:tab w:val="clear" w:pos="8640"/>
      </w:tabs>
      <w:ind w:firstLine="360"/>
      <w:jc w:val="right"/>
      <w:rPr>
        <w:rFonts w:ascii="Arial" w:hAnsi="Arial" w:cs="Arial"/>
        <w:sz w:val="20"/>
        <w:szCs w:val="20"/>
      </w:rPr>
    </w:pPr>
    <w:r>
      <w:rPr>
        <w:rFonts w:ascii="Arial" w:hAnsi="Arial" w:cs="Arial"/>
        <w:sz w:val="20"/>
        <w:szCs w:val="20"/>
      </w:rPr>
      <w:t>May be reproduced for educational uses only.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45D6" w:rsidRDefault="004345D6">
      <w:r>
        <w:separator/>
      </w:r>
    </w:p>
  </w:footnote>
  <w:footnote w:type="continuationSeparator" w:id="0">
    <w:p w:rsidR="004345D6" w:rsidRDefault="004345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2E6" w:rsidRDefault="009152E6" w:rsidP="009152E6">
    <w:pPr>
      <w:pStyle w:val="Header"/>
      <w:jc w:val="right"/>
    </w:pPr>
    <w:r w:rsidRPr="001532D6">
      <w:rPr>
        <w:rStyle w:val="PageNumber"/>
        <w:rFonts w:ascii="Arial" w:hAnsi="Arial" w:cs="Arial"/>
        <w:i/>
        <w:sz w:val="20"/>
      </w:rPr>
      <w:t>Fundamentals of Real Estate Appraisal</w:t>
    </w:r>
    <w:r>
      <w:rPr>
        <w:rStyle w:val="PageNumber"/>
        <w:rFonts w:ascii="Arial" w:hAnsi="Arial" w:cs="Arial"/>
        <w:i/>
        <w:sz w:val="20"/>
      </w:rPr>
      <w:t xml:space="preserve"> Thirteenth</w:t>
    </w:r>
    <w:r w:rsidRPr="001532D6">
      <w:rPr>
        <w:rStyle w:val="PageNumber"/>
        <w:rFonts w:ascii="Arial" w:hAnsi="Arial" w:cs="Arial"/>
        <w:i/>
        <w:sz w:val="20"/>
      </w:rPr>
      <w:t xml:space="preserve"> Edition</w:t>
    </w:r>
  </w:p>
  <w:p w:rsidR="0075160F" w:rsidRDefault="007516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31B" w:rsidRPr="0001331B" w:rsidRDefault="0001331B" w:rsidP="0001331B">
    <w:pPr>
      <w:pStyle w:val="Header"/>
      <w:tabs>
        <w:tab w:val="clear" w:pos="4320"/>
        <w:tab w:val="clear" w:pos="8640"/>
      </w:tabs>
      <w:jc w:val="right"/>
      <w:rPr>
        <w:rFonts w:ascii="Arial" w:hAnsi="Arial" w:cs="Arial"/>
        <w:i/>
        <w:sz w:val="20"/>
        <w:szCs w:val="20"/>
      </w:rPr>
    </w:pPr>
    <w:r w:rsidRPr="0001331B">
      <w:rPr>
        <w:rFonts w:ascii="Arial" w:hAnsi="Arial" w:cs="Arial"/>
        <w:i/>
        <w:sz w:val="20"/>
        <w:szCs w:val="20"/>
      </w:rPr>
      <w:t>[Book title edition]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76A5E"/>
    <w:multiLevelType w:val="hybridMultilevel"/>
    <w:tmpl w:val="3CB0A3F4"/>
    <w:lvl w:ilvl="0" w:tplc="0592F15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9167EF"/>
    <w:multiLevelType w:val="hybridMultilevel"/>
    <w:tmpl w:val="19DA37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557EB3"/>
    <w:multiLevelType w:val="hybridMultilevel"/>
    <w:tmpl w:val="C9EABD2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1A76AA3"/>
    <w:multiLevelType w:val="hybridMultilevel"/>
    <w:tmpl w:val="655875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A60A25"/>
    <w:multiLevelType w:val="hybridMultilevel"/>
    <w:tmpl w:val="9DB25C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E70B3F"/>
    <w:multiLevelType w:val="hybridMultilevel"/>
    <w:tmpl w:val="4F8068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C51C19"/>
    <w:multiLevelType w:val="hybridMultilevel"/>
    <w:tmpl w:val="618486B6"/>
    <w:lvl w:ilvl="0" w:tplc="49CED6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211F2C"/>
    <w:multiLevelType w:val="hybridMultilevel"/>
    <w:tmpl w:val="2CE6CED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20AF1821"/>
    <w:multiLevelType w:val="hybridMultilevel"/>
    <w:tmpl w:val="A61E78C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22D27ABD"/>
    <w:multiLevelType w:val="hybridMultilevel"/>
    <w:tmpl w:val="0A329E6C"/>
    <w:lvl w:ilvl="0" w:tplc="A4864752">
      <w:numFmt w:val="bullet"/>
      <w:lvlText w:val=""/>
      <w:lvlJc w:val="left"/>
      <w:pPr>
        <w:ind w:left="720" w:hanging="360"/>
      </w:pPr>
      <w:rPr>
        <w:rFonts w:ascii="Symbol" w:eastAsia="Times New Roman"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23CE4709"/>
    <w:multiLevelType w:val="hybridMultilevel"/>
    <w:tmpl w:val="DA06B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34062F"/>
    <w:multiLevelType w:val="hybridMultilevel"/>
    <w:tmpl w:val="DDA0D0E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27843535"/>
    <w:multiLevelType w:val="hybridMultilevel"/>
    <w:tmpl w:val="D40ECE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D1175C"/>
    <w:multiLevelType w:val="hybridMultilevel"/>
    <w:tmpl w:val="9292912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3264657C"/>
    <w:multiLevelType w:val="hybridMultilevel"/>
    <w:tmpl w:val="3A4272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3C16EB"/>
    <w:multiLevelType w:val="hybridMultilevel"/>
    <w:tmpl w:val="D2CEB4EA"/>
    <w:lvl w:ilvl="0" w:tplc="79B82D3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481B1D"/>
    <w:multiLevelType w:val="hybridMultilevel"/>
    <w:tmpl w:val="F08CAD50"/>
    <w:lvl w:ilvl="0" w:tplc="532AE25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3F69AC"/>
    <w:multiLevelType w:val="hybridMultilevel"/>
    <w:tmpl w:val="E642FDF2"/>
    <w:lvl w:ilvl="0" w:tplc="98B003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95328D"/>
    <w:multiLevelType w:val="hybridMultilevel"/>
    <w:tmpl w:val="1250F1FC"/>
    <w:lvl w:ilvl="0" w:tplc="A4864752">
      <w:numFmt w:val="bullet"/>
      <w:lvlText w:val=""/>
      <w:lvlJc w:val="left"/>
      <w:pPr>
        <w:ind w:left="720" w:hanging="360"/>
      </w:pPr>
      <w:rPr>
        <w:rFonts w:ascii="Symbol" w:eastAsia="Times New Roman"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3AA05896"/>
    <w:multiLevelType w:val="hybridMultilevel"/>
    <w:tmpl w:val="8F8434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AE69FC"/>
    <w:multiLevelType w:val="hybridMultilevel"/>
    <w:tmpl w:val="81B805E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3BA56DFC"/>
    <w:multiLevelType w:val="hybridMultilevel"/>
    <w:tmpl w:val="B4B280CA"/>
    <w:lvl w:ilvl="0" w:tplc="852C542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B36987"/>
    <w:multiLevelType w:val="hybridMultilevel"/>
    <w:tmpl w:val="7AEACD8A"/>
    <w:lvl w:ilvl="0" w:tplc="7DF4667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B0283B"/>
    <w:multiLevelType w:val="hybridMultilevel"/>
    <w:tmpl w:val="475E7042"/>
    <w:lvl w:ilvl="0" w:tplc="A4864752">
      <w:numFmt w:val="bullet"/>
      <w:lvlText w:val=""/>
      <w:lvlJc w:val="left"/>
      <w:pPr>
        <w:ind w:left="720" w:hanging="360"/>
      </w:pPr>
      <w:rPr>
        <w:rFonts w:ascii="Symbol" w:eastAsia="Times New Roman"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3F3928FC"/>
    <w:multiLevelType w:val="hybridMultilevel"/>
    <w:tmpl w:val="04B4AF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3B4DE7"/>
    <w:multiLevelType w:val="hybridMultilevel"/>
    <w:tmpl w:val="D8BEA1C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417A1D93"/>
    <w:multiLevelType w:val="hybridMultilevel"/>
    <w:tmpl w:val="7B62BB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8A45A6"/>
    <w:multiLevelType w:val="hybridMultilevel"/>
    <w:tmpl w:val="84C29F3E"/>
    <w:lvl w:ilvl="0" w:tplc="A4864752">
      <w:numFmt w:val="bullet"/>
      <w:lvlText w:val=""/>
      <w:lvlJc w:val="left"/>
      <w:pPr>
        <w:ind w:left="720" w:hanging="360"/>
      </w:pPr>
      <w:rPr>
        <w:rFonts w:ascii="Symbol" w:eastAsia="Times New Roman"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4623663A"/>
    <w:multiLevelType w:val="hybridMultilevel"/>
    <w:tmpl w:val="135E6F94"/>
    <w:lvl w:ilvl="0" w:tplc="1994A94E">
      <w:start w:val="1"/>
      <w:numFmt w:val="bullet"/>
      <w:lvlText w:val="•"/>
      <w:lvlJc w:val="left"/>
      <w:pPr>
        <w:tabs>
          <w:tab w:val="num" w:pos="720"/>
        </w:tabs>
        <w:ind w:left="720" w:hanging="360"/>
      </w:pPr>
      <w:rPr>
        <w:rFonts w:ascii="Times New Roman" w:hAnsi="Times New Roman" w:hint="default"/>
      </w:rPr>
    </w:lvl>
    <w:lvl w:ilvl="1" w:tplc="9DB46F70">
      <w:start w:val="1605"/>
      <w:numFmt w:val="bullet"/>
      <w:lvlText w:val="–"/>
      <w:lvlJc w:val="left"/>
      <w:pPr>
        <w:tabs>
          <w:tab w:val="num" w:pos="1440"/>
        </w:tabs>
        <w:ind w:left="1440" w:hanging="360"/>
      </w:pPr>
      <w:rPr>
        <w:rFonts w:ascii="Times New Roman" w:hAnsi="Times New Roman" w:hint="default"/>
      </w:rPr>
    </w:lvl>
    <w:lvl w:ilvl="2" w:tplc="9688637A">
      <w:start w:val="1"/>
      <w:numFmt w:val="bullet"/>
      <w:lvlText w:val="•"/>
      <w:lvlJc w:val="left"/>
      <w:pPr>
        <w:tabs>
          <w:tab w:val="num" w:pos="2160"/>
        </w:tabs>
        <w:ind w:left="2160" w:hanging="360"/>
      </w:pPr>
      <w:rPr>
        <w:rFonts w:ascii="Times New Roman" w:hAnsi="Times New Roman" w:hint="default"/>
      </w:rPr>
    </w:lvl>
    <w:lvl w:ilvl="3" w:tplc="B4CA4948">
      <w:start w:val="1"/>
      <w:numFmt w:val="bullet"/>
      <w:lvlText w:val="•"/>
      <w:lvlJc w:val="left"/>
      <w:pPr>
        <w:tabs>
          <w:tab w:val="num" w:pos="2880"/>
        </w:tabs>
        <w:ind w:left="2880" w:hanging="360"/>
      </w:pPr>
      <w:rPr>
        <w:rFonts w:ascii="Times New Roman" w:hAnsi="Times New Roman" w:hint="default"/>
      </w:rPr>
    </w:lvl>
    <w:lvl w:ilvl="4" w:tplc="A69E6F8C" w:tentative="1">
      <w:start w:val="1"/>
      <w:numFmt w:val="bullet"/>
      <w:lvlText w:val="•"/>
      <w:lvlJc w:val="left"/>
      <w:pPr>
        <w:tabs>
          <w:tab w:val="num" w:pos="3600"/>
        </w:tabs>
        <w:ind w:left="3600" w:hanging="360"/>
      </w:pPr>
      <w:rPr>
        <w:rFonts w:ascii="Times New Roman" w:hAnsi="Times New Roman" w:hint="default"/>
      </w:rPr>
    </w:lvl>
    <w:lvl w:ilvl="5" w:tplc="BAF623B8" w:tentative="1">
      <w:start w:val="1"/>
      <w:numFmt w:val="bullet"/>
      <w:lvlText w:val="•"/>
      <w:lvlJc w:val="left"/>
      <w:pPr>
        <w:tabs>
          <w:tab w:val="num" w:pos="4320"/>
        </w:tabs>
        <w:ind w:left="4320" w:hanging="360"/>
      </w:pPr>
      <w:rPr>
        <w:rFonts w:ascii="Times New Roman" w:hAnsi="Times New Roman" w:hint="default"/>
      </w:rPr>
    </w:lvl>
    <w:lvl w:ilvl="6" w:tplc="CDDC25AA" w:tentative="1">
      <w:start w:val="1"/>
      <w:numFmt w:val="bullet"/>
      <w:lvlText w:val="•"/>
      <w:lvlJc w:val="left"/>
      <w:pPr>
        <w:tabs>
          <w:tab w:val="num" w:pos="5040"/>
        </w:tabs>
        <w:ind w:left="5040" w:hanging="360"/>
      </w:pPr>
      <w:rPr>
        <w:rFonts w:ascii="Times New Roman" w:hAnsi="Times New Roman" w:hint="default"/>
      </w:rPr>
    </w:lvl>
    <w:lvl w:ilvl="7" w:tplc="408495A2" w:tentative="1">
      <w:start w:val="1"/>
      <w:numFmt w:val="bullet"/>
      <w:lvlText w:val="•"/>
      <w:lvlJc w:val="left"/>
      <w:pPr>
        <w:tabs>
          <w:tab w:val="num" w:pos="5760"/>
        </w:tabs>
        <w:ind w:left="5760" w:hanging="360"/>
      </w:pPr>
      <w:rPr>
        <w:rFonts w:ascii="Times New Roman" w:hAnsi="Times New Roman" w:hint="default"/>
      </w:rPr>
    </w:lvl>
    <w:lvl w:ilvl="8" w:tplc="D08E7C4E"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46DB13BD"/>
    <w:multiLevelType w:val="hybridMultilevel"/>
    <w:tmpl w:val="F474CA5A"/>
    <w:lvl w:ilvl="0" w:tplc="A4864752">
      <w:numFmt w:val="bullet"/>
      <w:lvlText w:val=""/>
      <w:lvlJc w:val="left"/>
      <w:pPr>
        <w:ind w:left="720" w:hanging="360"/>
      </w:pPr>
      <w:rPr>
        <w:rFonts w:ascii="Symbol" w:eastAsia="Times New Roman"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15:restartNumberingAfterBreak="0">
    <w:nsid w:val="4BAE10B5"/>
    <w:multiLevelType w:val="hybridMultilevel"/>
    <w:tmpl w:val="2D242FC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15:restartNumberingAfterBreak="0">
    <w:nsid w:val="4C3675AC"/>
    <w:multiLevelType w:val="hybridMultilevel"/>
    <w:tmpl w:val="1F4E3E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CED53C1"/>
    <w:multiLevelType w:val="hybridMultilevel"/>
    <w:tmpl w:val="9AEE352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4D5757F1"/>
    <w:multiLevelType w:val="hybridMultilevel"/>
    <w:tmpl w:val="F216C0A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15:restartNumberingAfterBreak="0">
    <w:nsid w:val="50341FB7"/>
    <w:multiLevelType w:val="hybridMultilevel"/>
    <w:tmpl w:val="471C6740"/>
    <w:lvl w:ilvl="0" w:tplc="A4864752">
      <w:numFmt w:val="bullet"/>
      <w:lvlText w:val=""/>
      <w:lvlJc w:val="left"/>
      <w:pPr>
        <w:ind w:left="720" w:hanging="360"/>
      </w:pPr>
      <w:rPr>
        <w:rFonts w:ascii="Symbol" w:eastAsia="Times New Roman"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15:restartNumberingAfterBreak="0">
    <w:nsid w:val="51C12AA4"/>
    <w:multiLevelType w:val="hybridMultilevel"/>
    <w:tmpl w:val="FCC265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7941D90"/>
    <w:multiLevelType w:val="hybridMultilevel"/>
    <w:tmpl w:val="92F65D1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15:restartNumberingAfterBreak="0">
    <w:nsid w:val="58F5786C"/>
    <w:multiLevelType w:val="hybridMultilevel"/>
    <w:tmpl w:val="E9F850AE"/>
    <w:lvl w:ilvl="0" w:tplc="01DEDF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CD2398A"/>
    <w:multiLevelType w:val="hybridMultilevel"/>
    <w:tmpl w:val="E4BED772"/>
    <w:lvl w:ilvl="0" w:tplc="929CD7E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FB162EC"/>
    <w:multiLevelType w:val="hybridMultilevel"/>
    <w:tmpl w:val="8B2A53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FBC6E05"/>
    <w:multiLevelType w:val="hybridMultilevel"/>
    <w:tmpl w:val="43F0C604"/>
    <w:lvl w:ilvl="0" w:tplc="170EB5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7D05C88"/>
    <w:multiLevelType w:val="hybridMultilevel"/>
    <w:tmpl w:val="1C0654C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2" w15:restartNumberingAfterBreak="0">
    <w:nsid w:val="6E1A272B"/>
    <w:multiLevelType w:val="hybridMultilevel"/>
    <w:tmpl w:val="A74692F8"/>
    <w:lvl w:ilvl="0" w:tplc="F934C8C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01E0599"/>
    <w:multiLevelType w:val="hybridMultilevel"/>
    <w:tmpl w:val="E502040C"/>
    <w:lvl w:ilvl="0" w:tplc="A4864752">
      <w:numFmt w:val="bullet"/>
      <w:lvlText w:val=""/>
      <w:lvlJc w:val="left"/>
      <w:pPr>
        <w:ind w:left="720" w:hanging="360"/>
      </w:pPr>
      <w:rPr>
        <w:rFonts w:ascii="Symbol" w:eastAsia="Times New Roman"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15:restartNumberingAfterBreak="0">
    <w:nsid w:val="74D31642"/>
    <w:multiLevelType w:val="hybridMultilevel"/>
    <w:tmpl w:val="46941F14"/>
    <w:lvl w:ilvl="0" w:tplc="53569AC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7E5365"/>
    <w:multiLevelType w:val="hybridMultilevel"/>
    <w:tmpl w:val="04BAC6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9E51BBE"/>
    <w:multiLevelType w:val="hybridMultilevel"/>
    <w:tmpl w:val="054A5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9FC0F52"/>
    <w:multiLevelType w:val="hybridMultilevel"/>
    <w:tmpl w:val="E26601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A2368A7"/>
    <w:multiLevelType w:val="hybridMultilevel"/>
    <w:tmpl w:val="5270EFAC"/>
    <w:lvl w:ilvl="0" w:tplc="7A0EF3E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47"/>
  </w:num>
  <w:num w:numId="3">
    <w:abstractNumId w:val="48"/>
  </w:num>
  <w:num w:numId="4">
    <w:abstractNumId w:val="14"/>
  </w:num>
  <w:num w:numId="5">
    <w:abstractNumId w:val="26"/>
  </w:num>
  <w:num w:numId="6">
    <w:abstractNumId w:val="16"/>
  </w:num>
  <w:num w:numId="7">
    <w:abstractNumId w:val="4"/>
  </w:num>
  <w:num w:numId="8">
    <w:abstractNumId w:val="22"/>
  </w:num>
  <w:num w:numId="9">
    <w:abstractNumId w:val="5"/>
  </w:num>
  <w:num w:numId="10">
    <w:abstractNumId w:val="37"/>
  </w:num>
  <w:num w:numId="11">
    <w:abstractNumId w:val="24"/>
  </w:num>
  <w:num w:numId="12">
    <w:abstractNumId w:val="6"/>
  </w:num>
  <w:num w:numId="13">
    <w:abstractNumId w:val="45"/>
  </w:num>
  <w:num w:numId="14">
    <w:abstractNumId w:val="17"/>
  </w:num>
  <w:num w:numId="15">
    <w:abstractNumId w:val="35"/>
  </w:num>
  <w:num w:numId="16">
    <w:abstractNumId w:val="21"/>
  </w:num>
  <w:num w:numId="17">
    <w:abstractNumId w:val="39"/>
  </w:num>
  <w:num w:numId="18">
    <w:abstractNumId w:val="38"/>
  </w:num>
  <w:num w:numId="19">
    <w:abstractNumId w:val="3"/>
  </w:num>
  <w:num w:numId="20">
    <w:abstractNumId w:val="15"/>
  </w:num>
  <w:num w:numId="21">
    <w:abstractNumId w:val="19"/>
  </w:num>
  <w:num w:numId="22">
    <w:abstractNumId w:val="40"/>
  </w:num>
  <w:num w:numId="23">
    <w:abstractNumId w:val="1"/>
  </w:num>
  <w:num w:numId="24">
    <w:abstractNumId w:val="0"/>
  </w:num>
  <w:num w:numId="25">
    <w:abstractNumId w:val="31"/>
  </w:num>
  <w:num w:numId="26">
    <w:abstractNumId w:val="44"/>
  </w:num>
  <w:num w:numId="27">
    <w:abstractNumId w:val="12"/>
  </w:num>
  <w:num w:numId="28">
    <w:abstractNumId w:val="42"/>
  </w:num>
  <w:num w:numId="2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5"/>
  </w:num>
  <w:num w:numId="47">
    <w:abstractNumId w:val="10"/>
  </w:num>
  <w:num w:numId="48">
    <w:abstractNumId w:val="46"/>
  </w:num>
  <w:num w:numId="4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0C5"/>
    <w:rsid w:val="0000062C"/>
    <w:rsid w:val="00000E17"/>
    <w:rsid w:val="00000E85"/>
    <w:rsid w:val="0000384C"/>
    <w:rsid w:val="00007826"/>
    <w:rsid w:val="00010322"/>
    <w:rsid w:val="000126F0"/>
    <w:rsid w:val="0001331B"/>
    <w:rsid w:val="000164A6"/>
    <w:rsid w:val="0001698C"/>
    <w:rsid w:val="00017844"/>
    <w:rsid w:val="000200B3"/>
    <w:rsid w:val="000269CF"/>
    <w:rsid w:val="000310C1"/>
    <w:rsid w:val="00032EA9"/>
    <w:rsid w:val="00032ED3"/>
    <w:rsid w:val="0003623B"/>
    <w:rsid w:val="000362D7"/>
    <w:rsid w:val="0003724B"/>
    <w:rsid w:val="00037E3C"/>
    <w:rsid w:val="000402B5"/>
    <w:rsid w:val="000417D5"/>
    <w:rsid w:val="0004185C"/>
    <w:rsid w:val="00042761"/>
    <w:rsid w:val="00042FF7"/>
    <w:rsid w:val="000444F9"/>
    <w:rsid w:val="00044B75"/>
    <w:rsid w:val="000466B8"/>
    <w:rsid w:val="00052195"/>
    <w:rsid w:val="000522B8"/>
    <w:rsid w:val="00053872"/>
    <w:rsid w:val="0005481B"/>
    <w:rsid w:val="0005519C"/>
    <w:rsid w:val="00057E6C"/>
    <w:rsid w:val="000601B2"/>
    <w:rsid w:val="00065DCF"/>
    <w:rsid w:val="00066814"/>
    <w:rsid w:val="00066A5F"/>
    <w:rsid w:val="00070B27"/>
    <w:rsid w:val="000712CA"/>
    <w:rsid w:val="00071487"/>
    <w:rsid w:val="0007275C"/>
    <w:rsid w:val="00073164"/>
    <w:rsid w:val="00075424"/>
    <w:rsid w:val="0007657B"/>
    <w:rsid w:val="00081781"/>
    <w:rsid w:val="00081EA6"/>
    <w:rsid w:val="000848D0"/>
    <w:rsid w:val="000922EB"/>
    <w:rsid w:val="00093BE3"/>
    <w:rsid w:val="00094710"/>
    <w:rsid w:val="000A1DED"/>
    <w:rsid w:val="000A2B49"/>
    <w:rsid w:val="000A4199"/>
    <w:rsid w:val="000B0914"/>
    <w:rsid w:val="000B0E4D"/>
    <w:rsid w:val="000B0FA4"/>
    <w:rsid w:val="000B11C7"/>
    <w:rsid w:val="000B4926"/>
    <w:rsid w:val="000B4C49"/>
    <w:rsid w:val="000B5A85"/>
    <w:rsid w:val="000B7373"/>
    <w:rsid w:val="000C12E1"/>
    <w:rsid w:val="000C406A"/>
    <w:rsid w:val="000C6617"/>
    <w:rsid w:val="000D03AE"/>
    <w:rsid w:val="000D2350"/>
    <w:rsid w:val="000D2648"/>
    <w:rsid w:val="000D5784"/>
    <w:rsid w:val="000E096C"/>
    <w:rsid w:val="000E2A28"/>
    <w:rsid w:val="000E36D8"/>
    <w:rsid w:val="000E37B7"/>
    <w:rsid w:val="000E40D2"/>
    <w:rsid w:val="000F224B"/>
    <w:rsid w:val="000F315E"/>
    <w:rsid w:val="000F49D9"/>
    <w:rsid w:val="000F4C91"/>
    <w:rsid w:val="000F5D88"/>
    <w:rsid w:val="000F61E8"/>
    <w:rsid w:val="000F708E"/>
    <w:rsid w:val="000F72F5"/>
    <w:rsid w:val="000F74D9"/>
    <w:rsid w:val="00101A3B"/>
    <w:rsid w:val="001022DF"/>
    <w:rsid w:val="00104F39"/>
    <w:rsid w:val="00105200"/>
    <w:rsid w:val="001053FF"/>
    <w:rsid w:val="00105E2B"/>
    <w:rsid w:val="00107130"/>
    <w:rsid w:val="00116251"/>
    <w:rsid w:val="00117695"/>
    <w:rsid w:val="00122A45"/>
    <w:rsid w:val="00126238"/>
    <w:rsid w:val="00127FA3"/>
    <w:rsid w:val="00133018"/>
    <w:rsid w:val="001355AC"/>
    <w:rsid w:val="00135928"/>
    <w:rsid w:val="00141B3E"/>
    <w:rsid w:val="0014320A"/>
    <w:rsid w:val="00145688"/>
    <w:rsid w:val="00145A09"/>
    <w:rsid w:val="0014731C"/>
    <w:rsid w:val="00154B30"/>
    <w:rsid w:val="00156D79"/>
    <w:rsid w:val="0015765E"/>
    <w:rsid w:val="00160628"/>
    <w:rsid w:val="001607D1"/>
    <w:rsid w:val="00161287"/>
    <w:rsid w:val="001617AE"/>
    <w:rsid w:val="0016405E"/>
    <w:rsid w:val="0016561C"/>
    <w:rsid w:val="00171F23"/>
    <w:rsid w:val="0017238D"/>
    <w:rsid w:val="00172652"/>
    <w:rsid w:val="00174E12"/>
    <w:rsid w:val="00175701"/>
    <w:rsid w:val="00181E06"/>
    <w:rsid w:val="001847AE"/>
    <w:rsid w:val="00190938"/>
    <w:rsid w:val="00193B6D"/>
    <w:rsid w:val="001940AF"/>
    <w:rsid w:val="00194413"/>
    <w:rsid w:val="00195424"/>
    <w:rsid w:val="0019604B"/>
    <w:rsid w:val="001A1D65"/>
    <w:rsid w:val="001B1667"/>
    <w:rsid w:val="001B35A8"/>
    <w:rsid w:val="001C3851"/>
    <w:rsid w:val="001D0E83"/>
    <w:rsid w:val="001D2617"/>
    <w:rsid w:val="001D3B45"/>
    <w:rsid w:val="001D4001"/>
    <w:rsid w:val="001D65F9"/>
    <w:rsid w:val="001D69D0"/>
    <w:rsid w:val="001E0443"/>
    <w:rsid w:val="001E0E85"/>
    <w:rsid w:val="001E5E60"/>
    <w:rsid w:val="001E643F"/>
    <w:rsid w:val="001F196F"/>
    <w:rsid w:val="001F480D"/>
    <w:rsid w:val="001F7A5C"/>
    <w:rsid w:val="00200AD0"/>
    <w:rsid w:val="0020186B"/>
    <w:rsid w:val="00203F6C"/>
    <w:rsid w:val="0020512E"/>
    <w:rsid w:val="002054CA"/>
    <w:rsid w:val="00210C47"/>
    <w:rsid w:val="00211A16"/>
    <w:rsid w:val="00211BFC"/>
    <w:rsid w:val="00213FCD"/>
    <w:rsid w:val="0021416F"/>
    <w:rsid w:val="002172A1"/>
    <w:rsid w:val="00220A20"/>
    <w:rsid w:val="00221459"/>
    <w:rsid w:val="0023289F"/>
    <w:rsid w:val="00234A90"/>
    <w:rsid w:val="0023638A"/>
    <w:rsid w:val="00237272"/>
    <w:rsid w:val="0023792F"/>
    <w:rsid w:val="002407BF"/>
    <w:rsid w:val="00240FAF"/>
    <w:rsid w:val="00242085"/>
    <w:rsid w:val="00244762"/>
    <w:rsid w:val="0024480F"/>
    <w:rsid w:val="002458E3"/>
    <w:rsid w:val="002569C2"/>
    <w:rsid w:val="00261D73"/>
    <w:rsid w:val="002626C4"/>
    <w:rsid w:val="00270233"/>
    <w:rsid w:val="0027531B"/>
    <w:rsid w:val="0027650F"/>
    <w:rsid w:val="002776BE"/>
    <w:rsid w:val="00281B7D"/>
    <w:rsid w:val="00283217"/>
    <w:rsid w:val="0028343A"/>
    <w:rsid w:val="0028538E"/>
    <w:rsid w:val="00294BC4"/>
    <w:rsid w:val="00296233"/>
    <w:rsid w:val="00297D72"/>
    <w:rsid w:val="002A02EA"/>
    <w:rsid w:val="002A15E5"/>
    <w:rsid w:val="002A5AC7"/>
    <w:rsid w:val="002A75CD"/>
    <w:rsid w:val="002B18D0"/>
    <w:rsid w:val="002B2811"/>
    <w:rsid w:val="002B302D"/>
    <w:rsid w:val="002B58CF"/>
    <w:rsid w:val="002C2CFE"/>
    <w:rsid w:val="002C4985"/>
    <w:rsid w:val="002C77AB"/>
    <w:rsid w:val="002D1B7A"/>
    <w:rsid w:val="002E1D11"/>
    <w:rsid w:val="002E3849"/>
    <w:rsid w:val="002E63E7"/>
    <w:rsid w:val="002E73B0"/>
    <w:rsid w:val="002F63B9"/>
    <w:rsid w:val="002F7D68"/>
    <w:rsid w:val="00302FA4"/>
    <w:rsid w:val="00303741"/>
    <w:rsid w:val="003122D6"/>
    <w:rsid w:val="00313EB1"/>
    <w:rsid w:val="00314078"/>
    <w:rsid w:val="0032155E"/>
    <w:rsid w:val="003247C2"/>
    <w:rsid w:val="00325504"/>
    <w:rsid w:val="003260D2"/>
    <w:rsid w:val="003266D7"/>
    <w:rsid w:val="003300B9"/>
    <w:rsid w:val="003305DF"/>
    <w:rsid w:val="003310AD"/>
    <w:rsid w:val="00332861"/>
    <w:rsid w:val="00340772"/>
    <w:rsid w:val="00353214"/>
    <w:rsid w:val="00355BD1"/>
    <w:rsid w:val="00356D92"/>
    <w:rsid w:val="003571CC"/>
    <w:rsid w:val="00361318"/>
    <w:rsid w:val="003626DA"/>
    <w:rsid w:val="00365E2F"/>
    <w:rsid w:val="00367250"/>
    <w:rsid w:val="00367556"/>
    <w:rsid w:val="00367912"/>
    <w:rsid w:val="003711AA"/>
    <w:rsid w:val="003725E8"/>
    <w:rsid w:val="00373142"/>
    <w:rsid w:val="00373C9F"/>
    <w:rsid w:val="0037454C"/>
    <w:rsid w:val="00374734"/>
    <w:rsid w:val="00374EE3"/>
    <w:rsid w:val="00376119"/>
    <w:rsid w:val="0037698E"/>
    <w:rsid w:val="00377132"/>
    <w:rsid w:val="003816A3"/>
    <w:rsid w:val="00382E33"/>
    <w:rsid w:val="00385F29"/>
    <w:rsid w:val="00390510"/>
    <w:rsid w:val="00390923"/>
    <w:rsid w:val="00392BB7"/>
    <w:rsid w:val="00393AD8"/>
    <w:rsid w:val="00395806"/>
    <w:rsid w:val="00396768"/>
    <w:rsid w:val="003970CC"/>
    <w:rsid w:val="00397E2B"/>
    <w:rsid w:val="003A2EA2"/>
    <w:rsid w:val="003A7716"/>
    <w:rsid w:val="003B07B4"/>
    <w:rsid w:val="003B12C9"/>
    <w:rsid w:val="003B173E"/>
    <w:rsid w:val="003B1B8E"/>
    <w:rsid w:val="003B2908"/>
    <w:rsid w:val="003B50DE"/>
    <w:rsid w:val="003B6889"/>
    <w:rsid w:val="003C1A7E"/>
    <w:rsid w:val="003C2489"/>
    <w:rsid w:val="003C701F"/>
    <w:rsid w:val="003D057D"/>
    <w:rsid w:val="003D10F5"/>
    <w:rsid w:val="003D1137"/>
    <w:rsid w:val="003D2948"/>
    <w:rsid w:val="003D3535"/>
    <w:rsid w:val="003D3647"/>
    <w:rsid w:val="003D372A"/>
    <w:rsid w:val="003D49D0"/>
    <w:rsid w:val="003E3054"/>
    <w:rsid w:val="003E4829"/>
    <w:rsid w:val="003E6330"/>
    <w:rsid w:val="003E6435"/>
    <w:rsid w:val="003E680A"/>
    <w:rsid w:val="003E7223"/>
    <w:rsid w:val="003E7B55"/>
    <w:rsid w:val="003E7B56"/>
    <w:rsid w:val="003F1551"/>
    <w:rsid w:val="003F5ED6"/>
    <w:rsid w:val="003F6515"/>
    <w:rsid w:val="00401EA8"/>
    <w:rsid w:val="00402300"/>
    <w:rsid w:val="00405BD3"/>
    <w:rsid w:val="00406100"/>
    <w:rsid w:val="00412BD5"/>
    <w:rsid w:val="004146EC"/>
    <w:rsid w:val="00414A1D"/>
    <w:rsid w:val="00416E4B"/>
    <w:rsid w:val="00421834"/>
    <w:rsid w:val="00422C62"/>
    <w:rsid w:val="00425166"/>
    <w:rsid w:val="00426FC5"/>
    <w:rsid w:val="00427C90"/>
    <w:rsid w:val="00430621"/>
    <w:rsid w:val="0043198E"/>
    <w:rsid w:val="004320A2"/>
    <w:rsid w:val="004324AE"/>
    <w:rsid w:val="00432BFE"/>
    <w:rsid w:val="00432D4C"/>
    <w:rsid w:val="00433076"/>
    <w:rsid w:val="004345D6"/>
    <w:rsid w:val="00436AA1"/>
    <w:rsid w:val="00444011"/>
    <w:rsid w:val="0044522D"/>
    <w:rsid w:val="00445D09"/>
    <w:rsid w:val="00451CB6"/>
    <w:rsid w:val="00451D8D"/>
    <w:rsid w:val="0045328D"/>
    <w:rsid w:val="004545C8"/>
    <w:rsid w:val="00454F01"/>
    <w:rsid w:val="00455A19"/>
    <w:rsid w:val="00457836"/>
    <w:rsid w:val="0046043B"/>
    <w:rsid w:val="00460BA2"/>
    <w:rsid w:val="00461AAA"/>
    <w:rsid w:val="00466C7C"/>
    <w:rsid w:val="00467877"/>
    <w:rsid w:val="00467A06"/>
    <w:rsid w:val="00470024"/>
    <w:rsid w:val="0047042F"/>
    <w:rsid w:val="00476859"/>
    <w:rsid w:val="00480058"/>
    <w:rsid w:val="0048305A"/>
    <w:rsid w:val="00485424"/>
    <w:rsid w:val="00486583"/>
    <w:rsid w:val="00487881"/>
    <w:rsid w:val="004946DA"/>
    <w:rsid w:val="00495ACD"/>
    <w:rsid w:val="004A02BA"/>
    <w:rsid w:val="004A222D"/>
    <w:rsid w:val="004A3C71"/>
    <w:rsid w:val="004A482C"/>
    <w:rsid w:val="004A61C5"/>
    <w:rsid w:val="004A639D"/>
    <w:rsid w:val="004A6837"/>
    <w:rsid w:val="004A7FD0"/>
    <w:rsid w:val="004B0FC4"/>
    <w:rsid w:val="004B15A8"/>
    <w:rsid w:val="004B248F"/>
    <w:rsid w:val="004B3350"/>
    <w:rsid w:val="004B3EB8"/>
    <w:rsid w:val="004B4F3D"/>
    <w:rsid w:val="004B6182"/>
    <w:rsid w:val="004C0EE4"/>
    <w:rsid w:val="004D22A7"/>
    <w:rsid w:val="004D28BA"/>
    <w:rsid w:val="004D2C8E"/>
    <w:rsid w:val="004D3197"/>
    <w:rsid w:val="004D44CB"/>
    <w:rsid w:val="004E0D42"/>
    <w:rsid w:val="004E44BD"/>
    <w:rsid w:val="004E560C"/>
    <w:rsid w:val="004E5C38"/>
    <w:rsid w:val="004E6049"/>
    <w:rsid w:val="004F0F61"/>
    <w:rsid w:val="004F315C"/>
    <w:rsid w:val="004F7130"/>
    <w:rsid w:val="005001A3"/>
    <w:rsid w:val="00500557"/>
    <w:rsid w:val="00511C40"/>
    <w:rsid w:val="005144E0"/>
    <w:rsid w:val="005160D1"/>
    <w:rsid w:val="00517BEC"/>
    <w:rsid w:val="0052097F"/>
    <w:rsid w:val="00520F57"/>
    <w:rsid w:val="005257E4"/>
    <w:rsid w:val="00526AA8"/>
    <w:rsid w:val="005308A7"/>
    <w:rsid w:val="00532E2A"/>
    <w:rsid w:val="0054202E"/>
    <w:rsid w:val="005428E8"/>
    <w:rsid w:val="00542912"/>
    <w:rsid w:val="0054321D"/>
    <w:rsid w:val="00545446"/>
    <w:rsid w:val="0054687A"/>
    <w:rsid w:val="00547E24"/>
    <w:rsid w:val="00550315"/>
    <w:rsid w:val="005549CD"/>
    <w:rsid w:val="0055522E"/>
    <w:rsid w:val="00555D8D"/>
    <w:rsid w:val="00561FE5"/>
    <w:rsid w:val="00562A49"/>
    <w:rsid w:val="00567503"/>
    <w:rsid w:val="00575A85"/>
    <w:rsid w:val="00575B6A"/>
    <w:rsid w:val="00576C76"/>
    <w:rsid w:val="00576F1C"/>
    <w:rsid w:val="005809A3"/>
    <w:rsid w:val="0058222E"/>
    <w:rsid w:val="005830B4"/>
    <w:rsid w:val="005835B9"/>
    <w:rsid w:val="00583E01"/>
    <w:rsid w:val="00585453"/>
    <w:rsid w:val="005862F0"/>
    <w:rsid w:val="00592DCD"/>
    <w:rsid w:val="0059362D"/>
    <w:rsid w:val="00597401"/>
    <w:rsid w:val="0059755C"/>
    <w:rsid w:val="00597DAF"/>
    <w:rsid w:val="005B0FD3"/>
    <w:rsid w:val="005B2B74"/>
    <w:rsid w:val="005B3049"/>
    <w:rsid w:val="005B4685"/>
    <w:rsid w:val="005C1106"/>
    <w:rsid w:val="005C2FA2"/>
    <w:rsid w:val="005C3CC5"/>
    <w:rsid w:val="005C3E39"/>
    <w:rsid w:val="005C5F21"/>
    <w:rsid w:val="005C768C"/>
    <w:rsid w:val="005D0A07"/>
    <w:rsid w:val="005D29ED"/>
    <w:rsid w:val="005E18CF"/>
    <w:rsid w:val="005E1B1E"/>
    <w:rsid w:val="005E5C37"/>
    <w:rsid w:val="005F010B"/>
    <w:rsid w:val="005F022D"/>
    <w:rsid w:val="005F1C53"/>
    <w:rsid w:val="005F219A"/>
    <w:rsid w:val="005F3DCA"/>
    <w:rsid w:val="005F4602"/>
    <w:rsid w:val="005F4C19"/>
    <w:rsid w:val="00600E8E"/>
    <w:rsid w:val="006020D8"/>
    <w:rsid w:val="006036BB"/>
    <w:rsid w:val="0060375B"/>
    <w:rsid w:val="006102BF"/>
    <w:rsid w:val="00616A07"/>
    <w:rsid w:val="006201C0"/>
    <w:rsid w:val="006201CC"/>
    <w:rsid w:val="00620A3F"/>
    <w:rsid w:val="00620D6D"/>
    <w:rsid w:val="006246EF"/>
    <w:rsid w:val="00627850"/>
    <w:rsid w:val="0063034C"/>
    <w:rsid w:val="006303A5"/>
    <w:rsid w:val="00631485"/>
    <w:rsid w:val="00633C8D"/>
    <w:rsid w:val="00634565"/>
    <w:rsid w:val="00634CE1"/>
    <w:rsid w:val="00636E03"/>
    <w:rsid w:val="00637983"/>
    <w:rsid w:val="00641755"/>
    <w:rsid w:val="00642051"/>
    <w:rsid w:val="0064326A"/>
    <w:rsid w:val="00645528"/>
    <w:rsid w:val="00645B9A"/>
    <w:rsid w:val="00645BB1"/>
    <w:rsid w:val="0064664D"/>
    <w:rsid w:val="00646AE8"/>
    <w:rsid w:val="0064763A"/>
    <w:rsid w:val="006511F8"/>
    <w:rsid w:val="006516FE"/>
    <w:rsid w:val="00654685"/>
    <w:rsid w:val="0065628C"/>
    <w:rsid w:val="006564B5"/>
    <w:rsid w:val="0066173C"/>
    <w:rsid w:val="00663BEB"/>
    <w:rsid w:val="006658F2"/>
    <w:rsid w:val="0067260B"/>
    <w:rsid w:val="00672957"/>
    <w:rsid w:val="0067534B"/>
    <w:rsid w:val="00675907"/>
    <w:rsid w:val="0067743E"/>
    <w:rsid w:val="0068132D"/>
    <w:rsid w:val="00684236"/>
    <w:rsid w:val="00686B77"/>
    <w:rsid w:val="00687DB8"/>
    <w:rsid w:val="00692156"/>
    <w:rsid w:val="006939A6"/>
    <w:rsid w:val="0069492F"/>
    <w:rsid w:val="0069684C"/>
    <w:rsid w:val="006A1A5F"/>
    <w:rsid w:val="006A1FD1"/>
    <w:rsid w:val="006A2346"/>
    <w:rsid w:val="006A2DCA"/>
    <w:rsid w:val="006A3D58"/>
    <w:rsid w:val="006A7C54"/>
    <w:rsid w:val="006B02D8"/>
    <w:rsid w:val="006B0CD5"/>
    <w:rsid w:val="006B308E"/>
    <w:rsid w:val="006B385E"/>
    <w:rsid w:val="006B4BF4"/>
    <w:rsid w:val="006B4CB8"/>
    <w:rsid w:val="006B6589"/>
    <w:rsid w:val="006C1774"/>
    <w:rsid w:val="006C65D7"/>
    <w:rsid w:val="006D0A53"/>
    <w:rsid w:val="006D104E"/>
    <w:rsid w:val="006D2168"/>
    <w:rsid w:val="006D523B"/>
    <w:rsid w:val="006D6F55"/>
    <w:rsid w:val="006D734B"/>
    <w:rsid w:val="006E3B48"/>
    <w:rsid w:val="006E3E46"/>
    <w:rsid w:val="006E3F4C"/>
    <w:rsid w:val="006F089A"/>
    <w:rsid w:val="006F11D5"/>
    <w:rsid w:val="006F1311"/>
    <w:rsid w:val="006F2831"/>
    <w:rsid w:val="006F2F71"/>
    <w:rsid w:val="006F3A9A"/>
    <w:rsid w:val="006F61AA"/>
    <w:rsid w:val="00702D71"/>
    <w:rsid w:val="0070688B"/>
    <w:rsid w:val="007108DF"/>
    <w:rsid w:val="007142E4"/>
    <w:rsid w:val="007152C7"/>
    <w:rsid w:val="00715CC4"/>
    <w:rsid w:val="00717E3D"/>
    <w:rsid w:val="00721F02"/>
    <w:rsid w:val="007263C2"/>
    <w:rsid w:val="007267F3"/>
    <w:rsid w:val="00733785"/>
    <w:rsid w:val="00733EF2"/>
    <w:rsid w:val="00734733"/>
    <w:rsid w:val="0074714B"/>
    <w:rsid w:val="00750323"/>
    <w:rsid w:val="0075160F"/>
    <w:rsid w:val="0075598F"/>
    <w:rsid w:val="007631BE"/>
    <w:rsid w:val="00763565"/>
    <w:rsid w:val="00764CC5"/>
    <w:rsid w:val="00767B7A"/>
    <w:rsid w:val="00770708"/>
    <w:rsid w:val="00771B4C"/>
    <w:rsid w:val="007728D1"/>
    <w:rsid w:val="00773C9F"/>
    <w:rsid w:val="00773FB4"/>
    <w:rsid w:val="007760BE"/>
    <w:rsid w:val="00782505"/>
    <w:rsid w:val="0078294E"/>
    <w:rsid w:val="00782CA9"/>
    <w:rsid w:val="007845ED"/>
    <w:rsid w:val="007900E7"/>
    <w:rsid w:val="0079084B"/>
    <w:rsid w:val="0079206E"/>
    <w:rsid w:val="007A193B"/>
    <w:rsid w:val="007A3056"/>
    <w:rsid w:val="007B14D3"/>
    <w:rsid w:val="007B39E1"/>
    <w:rsid w:val="007B3A0F"/>
    <w:rsid w:val="007B3BCF"/>
    <w:rsid w:val="007B560B"/>
    <w:rsid w:val="007B5C04"/>
    <w:rsid w:val="007B5EAA"/>
    <w:rsid w:val="007C318C"/>
    <w:rsid w:val="007C37BE"/>
    <w:rsid w:val="007C3EED"/>
    <w:rsid w:val="007C4FC8"/>
    <w:rsid w:val="007D1719"/>
    <w:rsid w:val="007D501F"/>
    <w:rsid w:val="007D5B3A"/>
    <w:rsid w:val="007E140C"/>
    <w:rsid w:val="007E43FA"/>
    <w:rsid w:val="007E7025"/>
    <w:rsid w:val="007E7FA8"/>
    <w:rsid w:val="007F31CF"/>
    <w:rsid w:val="007F7AEC"/>
    <w:rsid w:val="00800411"/>
    <w:rsid w:val="00800A5B"/>
    <w:rsid w:val="00801CB9"/>
    <w:rsid w:val="00802070"/>
    <w:rsid w:val="008040C3"/>
    <w:rsid w:val="00804A82"/>
    <w:rsid w:val="008058FE"/>
    <w:rsid w:val="00805FFB"/>
    <w:rsid w:val="00810D3A"/>
    <w:rsid w:val="0081139B"/>
    <w:rsid w:val="00811C5A"/>
    <w:rsid w:val="00820751"/>
    <w:rsid w:val="00821303"/>
    <w:rsid w:val="00830BC5"/>
    <w:rsid w:val="008312AA"/>
    <w:rsid w:val="00833314"/>
    <w:rsid w:val="00833424"/>
    <w:rsid w:val="00837B6A"/>
    <w:rsid w:val="008425DF"/>
    <w:rsid w:val="0084407E"/>
    <w:rsid w:val="008507E8"/>
    <w:rsid w:val="008523C7"/>
    <w:rsid w:val="008534CF"/>
    <w:rsid w:val="008546C4"/>
    <w:rsid w:val="008567C0"/>
    <w:rsid w:val="00860DFD"/>
    <w:rsid w:val="0086199C"/>
    <w:rsid w:val="00861DED"/>
    <w:rsid w:val="008626F1"/>
    <w:rsid w:val="00862815"/>
    <w:rsid w:val="008711CE"/>
    <w:rsid w:val="00872A57"/>
    <w:rsid w:val="008760C5"/>
    <w:rsid w:val="00881C53"/>
    <w:rsid w:val="00882362"/>
    <w:rsid w:val="00882AA8"/>
    <w:rsid w:val="00883E6E"/>
    <w:rsid w:val="008872C8"/>
    <w:rsid w:val="00890FFE"/>
    <w:rsid w:val="00893C17"/>
    <w:rsid w:val="00894BB6"/>
    <w:rsid w:val="008978E7"/>
    <w:rsid w:val="008A0D40"/>
    <w:rsid w:val="008A19C5"/>
    <w:rsid w:val="008B0D1A"/>
    <w:rsid w:val="008B3264"/>
    <w:rsid w:val="008B37C7"/>
    <w:rsid w:val="008B5023"/>
    <w:rsid w:val="008B5253"/>
    <w:rsid w:val="008B668A"/>
    <w:rsid w:val="008B6F9B"/>
    <w:rsid w:val="008C077E"/>
    <w:rsid w:val="008C0D5C"/>
    <w:rsid w:val="008C3355"/>
    <w:rsid w:val="008C3419"/>
    <w:rsid w:val="008C3AE7"/>
    <w:rsid w:val="008C5D08"/>
    <w:rsid w:val="008D0A98"/>
    <w:rsid w:val="008D20AB"/>
    <w:rsid w:val="008D2E02"/>
    <w:rsid w:val="008D3619"/>
    <w:rsid w:val="008D5729"/>
    <w:rsid w:val="008D579B"/>
    <w:rsid w:val="008D6F17"/>
    <w:rsid w:val="008E1893"/>
    <w:rsid w:val="008E4E34"/>
    <w:rsid w:val="008E50A6"/>
    <w:rsid w:val="008E52A4"/>
    <w:rsid w:val="008E6D2D"/>
    <w:rsid w:val="008E72A4"/>
    <w:rsid w:val="008E78A0"/>
    <w:rsid w:val="008F7351"/>
    <w:rsid w:val="009014C3"/>
    <w:rsid w:val="00905779"/>
    <w:rsid w:val="009110CF"/>
    <w:rsid w:val="009120B4"/>
    <w:rsid w:val="00912A37"/>
    <w:rsid w:val="00913965"/>
    <w:rsid w:val="009152E6"/>
    <w:rsid w:val="00916700"/>
    <w:rsid w:val="00925D32"/>
    <w:rsid w:val="00925D47"/>
    <w:rsid w:val="00926844"/>
    <w:rsid w:val="00926E86"/>
    <w:rsid w:val="00930151"/>
    <w:rsid w:val="009321BB"/>
    <w:rsid w:val="00932634"/>
    <w:rsid w:val="009327C8"/>
    <w:rsid w:val="00933D50"/>
    <w:rsid w:val="00934772"/>
    <w:rsid w:val="00936582"/>
    <w:rsid w:val="00937B14"/>
    <w:rsid w:val="009401FD"/>
    <w:rsid w:val="00941E13"/>
    <w:rsid w:val="00950432"/>
    <w:rsid w:val="009537F2"/>
    <w:rsid w:val="0095473B"/>
    <w:rsid w:val="00954C74"/>
    <w:rsid w:val="0096098C"/>
    <w:rsid w:val="00960A89"/>
    <w:rsid w:val="00967E51"/>
    <w:rsid w:val="00972645"/>
    <w:rsid w:val="00975E7D"/>
    <w:rsid w:val="00977476"/>
    <w:rsid w:val="009827E6"/>
    <w:rsid w:val="00984CFA"/>
    <w:rsid w:val="00987CD9"/>
    <w:rsid w:val="00992627"/>
    <w:rsid w:val="009A250F"/>
    <w:rsid w:val="009A3E47"/>
    <w:rsid w:val="009A3F1C"/>
    <w:rsid w:val="009A6A68"/>
    <w:rsid w:val="009A7B60"/>
    <w:rsid w:val="009B0F77"/>
    <w:rsid w:val="009B20FF"/>
    <w:rsid w:val="009B63B6"/>
    <w:rsid w:val="009C00B4"/>
    <w:rsid w:val="009C0267"/>
    <w:rsid w:val="009C1162"/>
    <w:rsid w:val="009C43E8"/>
    <w:rsid w:val="009C65E2"/>
    <w:rsid w:val="009D000C"/>
    <w:rsid w:val="009D163A"/>
    <w:rsid w:val="009D335D"/>
    <w:rsid w:val="009D5311"/>
    <w:rsid w:val="009E5F42"/>
    <w:rsid w:val="009E7CA6"/>
    <w:rsid w:val="009E7DB0"/>
    <w:rsid w:val="009F233D"/>
    <w:rsid w:val="009F2A70"/>
    <w:rsid w:val="00A0482B"/>
    <w:rsid w:val="00A05EEA"/>
    <w:rsid w:val="00A06486"/>
    <w:rsid w:val="00A13ABD"/>
    <w:rsid w:val="00A244A3"/>
    <w:rsid w:val="00A27F5B"/>
    <w:rsid w:val="00A32D9C"/>
    <w:rsid w:val="00A32F5A"/>
    <w:rsid w:val="00A338D8"/>
    <w:rsid w:val="00A37DAF"/>
    <w:rsid w:val="00A406CD"/>
    <w:rsid w:val="00A41E5E"/>
    <w:rsid w:val="00A41F10"/>
    <w:rsid w:val="00A457C9"/>
    <w:rsid w:val="00A51D5F"/>
    <w:rsid w:val="00A52706"/>
    <w:rsid w:val="00A529CD"/>
    <w:rsid w:val="00A555BC"/>
    <w:rsid w:val="00A55875"/>
    <w:rsid w:val="00A55C4E"/>
    <w:rsid w:val="00A56945"/>
    <w:rsid w:val="00A56A42"/>
    <w:rsid w:val="00A56AF0"/>
    <w:rsid w:val="00A56DDE"/>
    <w:rsid w:val="00A632DC"/>
    <w:rsid w:val="00A6336E"/>
    <w:rsid w:val="00A642D1"/>
    <w:rsid w:val="00A64B69"/>
    <w:rsid w:val="00A70EB9"/>
    <w:rsid w:val="00A71D4D"/>
    <w:rsid w:val="00A72550"/>
    <w:rsid w:val="00A731BA"/>
    <w:rsid w:val="00A7402D"/>
    <w:rsid w:val="00A82ABA"/>
    <w:rsid w:val="00A840E1"/>
    <w:rsid w:val="00A85196"/>
    <w:rsid w:val="00A85D98"/>
    <w:rsid w:val="00A932FB"/>
    <w:rsid w:val="00A95E50"/>
    <w:rsid w:val="00AA093B"/>
    <w:rsid w:val="00AA5216"/>
    <w:rsid w:val="00AA7048"/>
    <w:rsid w:val="00AB28F3"/>
    <w:rsid w:val="00AB3E04"/>
    <w:rsid w:val="00AB51C7"/>
    <w:rsid w:val="00AB52E5"/>
    <w:rsid w:val="00AB5933"/>
    <w:rsid w:val="00AB70EC"/>
    <w:rsid w:val="00AC4045"/>
    <w:rsid w:val="00AC6F19"/>
    <w:rsid w:val="00AC75C0"/>
    <w:rsid w:val="00AD07FC"/>
    <w:rsid w:val="00AD0978"/>
    <w:rsid w:val="00AD1233"/>
    <w:rsid w:val="00AD19C9"/>
    <w:rsid w:val="00AD5DF5"/>
    <w:rsid w:val="00AD746F"/>
    <w:rsid w:val="00AD7C32"/>
    <w:rsid w:val="00AE0EBD"/>
    <w:rsid w:val="00AE1E31"/>
    <w:rsid w:val="00AE647B"/>
    <w:rsid w:val="00AE7403"/>
    <w:rsid w:val="00AE7492"/>
    <w:rsid w:val="00AF0391"/>
    <w:rsid w:val="00AF27EF"/>
    <w:rsid w:val="00AF28D2"/>
    <w:rsid w:val="00AF3B1C"/>
    <w:rsid w:val="00AF4A13"/>
    <w:rsid w:val="00AF761A"/>
    <w:rsid w:val="00B02364"/>
    <w:rsid w:val="00B035FF"/>
    <w:rsid w:val="00B054B4"/>
    <w:rsid w:val="00B05BD3"/>
    <w:rsid w:val="00B1163E"/>
    <w:rsid w:val="00B12694"/>
    <w:rsid w:val="00B1286E"/>
    <w:rsid w:val="00B27240"/>
    <w:rsid w:val="00B30351"/>
    <w:rsid w:val="00B33144"/>
    <w:rsid w:val="00B344F6"/>
    <w:rsid w:val="00B348DA"/>
    <w:rsid w:val="00B35153"/>
    <w:rsid w:val="00B360CD"/>
    <w:rsid w:val="00B36E29"/>
    <w:rsid w:val="00B45B64"/>
    <w:rsid w:val="00B45DF6"/>
    <w:rsid w:val="00B46021"/>
    <w:rsid w:val="00B463BD"/>
    <w:rsid w:val="00B518F7"/>
    <w:rsid w:val="00B523E4"/>
    <w:rsid w:val="00B56556"/>
    <w:rsid w:val="00B64AE2"/>
    <w:rsid w:val="00B65329"/>
    <w:rsid w:val="00B67344"/>
    <w:rsid w:val="00B723C6"/>
    <w:rsid w:val="00B74BDA"/>
    <w:rsid w:val="00B754A1"/>
    <w:rsid w:val="00B760B2"/>
    <w:rsid w:val="00B76A44"/>
    <w:rsid w:val="00B76B7D"/>
    <w:rsid w:val="00B77C74"/>
    <w:rsid w:val="00B807E0"/>
    <w:rsid w:val="00B8268D"/>
    <w:rsid w:val="00B82883"/>
    <w:rsid w:val="00B8474B"/>
    <w:rsid w:val="00B84913"/>
    <w:rsid w:val="00B8706E"/>
    <w:rsid w:val="00B90529"/>
    <w:rsid w:val="00B91162"/>
    <w:rsid w:val="00B93836"/>
    <w:rsid w:val="00B953D1"/>
    <w:rsid w:val="00B96598"/>
    <w:rsid w:val="00BA06CE"/>
    <w:rsid w:val="00BA2788"/>
    <w:rsid w:val="00BA738D"/>
    <w:rsid w:val="00BA7542"/>
    <w:rsid w:val="00BB5971"/>
    <w:rsid w:val="00BB60B9"/>
    <w:rsid w:val="00BC0711"/>
    <w:rsid w:val="00BC0E87"/>
    <w:rsid w:val="00BC27D8"/>
    <w:rsid w:val="00BC344C"/>
    <w:rsid w:val="00BC473B"/>
    <w:rsid w:val="00BC56EF"/>
    <w:rsid w:val="00BC6731"/>
    <w:rsid w:val="00BC7FE5"/>
    <w:rsid w:val="00BD3653"/>
    <w:rsid w:val="00BD78C3"/>
    <w:rsid w:val="00BE4E64"/>
    <w:rsid w:val="00BE5B22"/>
    <w:rsid w:val="00BE7F29"/>
    <w:rsid w:val="00BF4A4C"/>
    <w:rsid w:val="00BF7FCA"/>
    <w:rsid w:val="00C015C0"/>
    <w:rsid w:val="00C02FE7"/>
    <w:rsid w:val="00C03558"/>
    <w:rsid w:val="00C03EBF"/>
    <w:rsid w:val="00C044ED"/>
    <w:rsid w:val="00C06912"/>
    <w:rsid w:val="00C0760B"/>
    <w:rsid w:val="00C117B0"/>
    <w:rsid w:val="00C11AA1"/>
    <w:rsid w:val="00C1359E"/>
    <w:rsid w:val="00C13F0B"/>
    <w:rsid w:val="00C1427F"/>
    <w:rsid w:val="00C21BF6"/>
    <w:rsid w:val="00C262CE"/>
    <w:rsid w:val="00C3155E"/>
    <w:rsid w:val="00C322EA"/>
    <w:rsid w:val="00C35418"/>
    <w:rsid w:val="00C36E45"/>
    <w:rsid w:val="00C3777A"/>
    <w:rsid w:val="00C37C1B"/>
    <w:rsid w:val="00C4070E"/>
    <w:rsid w:val="00C42AC5"/>
    <w:rsid w:val="00C43FD4"/>
    <w:rsid w:val="00C51073"/>
    <w:rsid w:val="00C514B7"/>
    <w:rsid w:val="00C526CE"/>
    <w:rsid w:val="00C55492"/>
    <w:rsid w:val="00C55CDB"/>
    <w:rsid w:val="00C55FA1"/>
    <w:rsid w:val="00C57D1F"/>
    <w:rsid w:val="00C57EE0"/>
    <w:rsid w:val="00C611F5"/>
    <w:rsid w:val="00C63E03"/>
    <w:rsid w:val="00C674A2"/>
    <w:rsid w:val="00C67B99"/>
    <w:rsid w:val="00C7023B"/>
    <w:rsid w:val="00C74BAC"/>
    <w:rsid w:val="00C754E8"/>
    <w:rsid w:val="00C76029"/>
    <w:rsid w:val="00C763F2"/>
    <w:rsid w:val="00C77641"/>
    <w:rsid w:val="00C77AC9"/>
    <w:rsid w:val="00C827B1"/>
    <w:rsid w:val="00C84A13"/>
    <w:rsid w:val="00C85C55"/>
    <w:rsid w:val="00C864C4"/>
    <w:rsid w:val="00C909A7"/>
    <w:rsid w:val="00C90C22"/>
    <w:rsid w:val="00C925C5"/>
    <w:rsid w:val="00C92D7B"/>
    <w:rsid w:val="00C9439E"/>
    <w:rsid w:val="00C970C7"/>
    <w:rsid w:val="00C9771A"/>
    <w:rsid w:val="00C97FCF"/>
    <w:rsid w:val="00CA3EB9"/>
    <w:rsid w:val="00CA67AA"/>
    <w:rsid w:val="00CB1107"/>
    <w:rsid w:val="00CB4117"/>
    <w:rsid w:val="00CB7C20"/>
    <w:rsid w:val="00CC03B2"/>
    <w:rsid w:val="00CC097D"/>
    <w:rsid w:val="00CC49D7"/>
    <w:rsid w:val="00CD2CA3"/>
    <w:rsid w:val="00CD4A20"/>
    <w:rsid w:val="00CD4B8B"/>
    <w:rsid w:val="00CD4D23"/>
    <w:rsid w:val="00CD50B1"/>
    <w:rsid w:val="00CD5158"/>
    <w:rsid w:val="00CD528F"/>
    <w:rsid w:val="00CD53E2"/>
    <w:rsid w:val="00CD5F4D"/>
    <w:rsid w:val="00CD7950"/>
    <w:rsid w:val="00CE0E66"/>
    <w:rsid w:val="00CE1639"/>
    <w:rsid w:val="00CE358F"/>
    <w:rsid w:val="00CE4AB6"/>
    <w:rsid w:val="00CE6183"/>
    <w:rsid w:val="00CF4340"/>
    <w:rsid w:val="00CF5C18"/>
    <w:rsid w:val="00CF6583"/>
    <w:rsid w:val="00CF67E0"/>
    <w:rsid w:val="00CF7F10"/>
    <w:rsid w:val="00D03036"/>
    <w:rsid w:val="00D036AE"/>
    <w:rsid w:val="00D10341"/>
    <w:rsid w:val="00D13BA1"/>
    <w:rsid w:val="00D207AF"/>
    <w:rsid w:val="00D23469"/>
    <w:rsid w:val="00D23556"/>
    <w:rsid w:val="00D2404D"/>
    <w:rsid w:val="00D24079"/>
    <w:rsid w:val="00D244B4"/>
    <w:rsid w:val="00D25B0A"/>
    <w:rsid w:val="00D25C2E"/>
    <w:rsid w:val="00D27BA6"/>
    <w:rsid w:val="00D306FF"/>
    <w:rsid w:val="00D31995"/>
    <w:rsid w:val="00D3257C"/>
    <w:rsid w:val="00D36470"/>
    <w:rsid w:val="00D37F1C"/>
    <w:rsid w:val="00D41827"/>
    <w:rsid w:val="00D4394F"/>
    <w:rsid w:val="00D44DA4"/>
    <w:rsid w:val="00D452B0"/>
    <w:rsid w:val="00D4549A"/>
    <w:rsid w:val="00D46CEF"/>
    <w:rsid w:val="00D537B3"/>
    <w:rsid w:val="00D538A5"/>
    <w:rsid w:val="00D53F5F"/>
    <w:rsid w:val="00D570C2"/>
    <w:rsid w:val="00D649B9"/>
    <w:rsid w:val="00D64C1E"/>
    <w:rsid w:val="00D65F96"/>
    <w:rsid w:val="00D663B5"/>
    <w:rsid w:val="00D66AA6"/>
    <w:rsid w:val="00D70874"/>
    <w:rsid w:val="00D7169E"/>
    <w:rsid w:val="00D72538"/>
    <w:rsid w:val="00D74631"/>
    <w:rsid w:val="00D754B9"/>
    <w:rsid w:val="00D8065B"/>
    <w:rsid w:val="00D81461"/>
    <w:rsid w:val="00D81793"/>
    <w:rsid w:val="00D82842"/>
    <w:rsid w:val="00D86289"/>
    <w:rsid w:val="00D86939"/>
    <w:rsid w:val="00D9393F"/>
    <w:rsid w:val="00D9486D"/>
    <w:rsid w:val="00DA177D"/>
    <w:rsid w:val="00DA333D"/>
    <w:rsid w:val="00DA709F"/>
    <w:rsid w:val="00DB122D"/>
    <w:rsid w:val="00DB74DE"/>
    <w:rsid w:val="00DB7954"/>
    <w:rsid w:val="00DC0F9B"/>
    <w:rsid w:val="00DC2FAB"/>
    <w:rsid w:val="00DC3F47"/>
    <w:rsid w:val="00DC64B4"/>
    <w:rsid w:val="00DD1A8A"/>
    <w:rsid w:val="00DD1E84"/>
    <w:rsid w:val="00DD2367"/>
    <w:rsid w:val="00DD33D7"/>
    <w:rsid w:val="00DD3845"/>
    <w:rsid w:val="00DD75AE"/>
    <w:rsid w:val="00DE56AD"/>
    <w:rsid w:val="00DE6838"/>
    <w:rsid w:val="00DF145C"/>
    <w:rsid w:val="00DF5465"/>
    <w:rsid w:val="00DF7557"/>
    <w:rsid w:val="00DF78E1"/>
    <w:rsid w:val="00E005C1"/>
    <w:rsid w:val="00E01310"/>
    <w:rsid w:val="00E01777"/>
    <w:rsid w:val="00E01F5B"/>
    <w:rsid w:val="00E04182"/>
    <w:rsid w:val="00E045F5"/>
    <w:rsid w:val="00E051CF"/>
    <w:rsid w:val="00E07D4A"/>
    <w:rsid w:val="00E1196A"/>
    <w:rsid w:val="00E137BD"/>
    <w:rsid w:val="00E139F7"/>
    <w:rsid w:val="00E14ABC"/>
    <w:rsid w:val="00E21C19"/>
    <w:rsid w:val="00E21D18"/>
    <w:rsid w:val="00E21F6A"/>
    <w:rsid w:val="00E224A8"/>
    <w:rsid w:val="00E233BF"/>
    <w:rsid w:val="00E243F4"/>
    <w:rsid w:val="00E2464F"/>
    <w:rsid w:val="00E2529A"/>
    <w:rsid w:val="00E25D74"/>
    <w:rsid w:val="00E3321C"/>
    <w:rsid w:val="00E349C8"/>
    <w:rsid w:val="00E42061"/>
    <w:rsid w:val="00E43691"/>
    <w:rsid w:val="00E437A7"/>
    <w:rsid w:val="00E43961"/>
    <w:rsid w:val="00E44399"/>
    <w:rsid w:val="00E455DA"/>
    <w:rsid w:val="00E467A7"/>
    <w:rsid w:val="00E51D36"/>
    <w:rsid w:val="00E51DA3"/>
    <w:rsid w:val="00E57329"/>
    <w:rsid w:val="00E64487"/>
    <w:rsid w:val="00E70BC4"/>
    <w:rsid w:val="00E718EA"/>
    <w:rsid w:val="00E722D4"/>
    <w:rsid w:val="00E7429D"/>
    <w:rsid w:val="00E76B5A"/>
    <w:rsid w:val="00E8021B"/>
    <w:rsid w:val="00E81219"/>
    <w:rsid w:val="00E8414D"/>
    <w:rsid w:val="00E84727"/>
    <w:rsid w:val="00E9391A"/>
    <w:rsid w:val="00E94679"/>
    <w:rsid w:val="00E953A5"/>
    <w:rsid w:val="00E95562"/>
    <w:rsid w:val="00E966D8"/>
    <w:rsid w:val="00EA3741"/>
    <w:rsid w:val="00EA4891"/>
    <w:rsid w:val="00EA48C7"/>
    <w:rsid w:val="00EA5A46"/>
    <w:rsid w:val="00EA6966"/>
    <w:rsid w:val="00EB17B7"/>
    <w:rsid w:val="00EB1CBE"/>
    <w:rsid w:val="00EB460E"/>
    <w:rsid w:val="00EB6119"/>
    <w:rsid w:val="00EB64D0"/>
    <w:rsid w:val="00EC3D4A"/>
    <w:rsid w:val="00EC5DD9"/>
    <w:rsid w:val="00EC61CE"/>
    <w:rsid w:val="00EC6252"/>
    <w:rsid w:val="00ED23DE"/>
    <w:rsid w:val="00ED30AE"/>
    <w:rsid w:val="00ED3738"/>
    <w:rsid w:val="00EE11EC"/>
    <w:rsid w:val="00EE2215"/>
    <w:rsid w:val="00EF0CEA"/>
    <w:rsid w:val="00EF2EAA"/>
    <w:rsid w:val="00EF3476"/>
    <w:rsid w:val="00EF6019"/>
    <w:rsid w:val="00EF6396"/>
    <w:rsid w:val="00EF6ACC"/>
    <w:rsid w:val="00EF6BE5"/>
    <w:rsid w:val="00EF7B8B"/>
    <w:rsid w:val="00F01CC3"/>
    <w:rsid w:val="00F021DB"/>
    <w:rsid w:val="00F02331"/>
    <w:rsid w:val="00F02BC2"/>
    <w:rsid w:val="00F032DB"/>
    <w:rsid w:val="00F0438D"/>
    <w:rsid w:val="00F04DFA"/>
    <w:rsid w:val="00F05ADA"/>
    <w:rsid w:val="00F10052"/>
    <w:rsid w:val="00F101D5"/>
    <w:rsid w:val="00F11BF5"/>
    <w:rsid w:val="00F11C0B"/>
    <w:rsid w:val="00F22B7C"/>
    <w:rsid w:val="00F2403F"/>
    <w:rsid w:val="00F243A1"/>
    <w:rsid w:val="00F24A0A"/>
    <w:rsid w:val="00F24C17"/>
    <w:rsid w:val="00F24D91"/>
    <w:rsid w:val="00F271A4"/>
    <w:rsid w:val="00F31621"/>
    <w:rsid w:val="00F33F5C"/>
    <w:rsid w:val="00F36F50"/>
    <w:rsid w:val="00F37B7F"/>
    <w:rsid w:val="00F37E7C"/>
    <w:rsid w:val="00F40F29"/>
    <w:rsid w:val="00F43F4A"/>
    <w:rsid w:val="00F46238"/>
    <w:rsid w:val="00F4666F"/>
    <w:rsid w:val="00F46A15"/>
    <w:rsid w:val="00F500D0"/>
    <w:rsid w:val="00F51654"/>
    <w:rsid w:val="00F522E1"/>
    <w:rsid w:val="00F54C2E"/>
    <w:rsid w:val="00F564F5"/>
    <w:rsid w:val="00F5748B"/>
    <w:rsid w:val="00F6017B"/>
    <w:rsid w:val="00F60698"/>
    <w:rsid w:val="00F73A94"/>
    <w:rsid w:val="00F77F9A"/>
    <w:rsid w:val="00F81439"/>
    <w:rsid w:val="00F82228"/>
    <w:rsid w:val="00F84341"/>
    <w:rsid w:val="00F8565F"/>
    <w:rsid w:val="00F929A8"/>
    <w:rsid w:val="00F9779A"/>
    <w:rsid w:val="00FA04E9"/>
    <w:rsid w:val="00FA1EDE"/>
    <w:rsid w:val="00FA4A58"/>
    <w:rsid w:val="00FB124B"/>
    <w:rsid w:val="00FB2A4C"/>
    <w:rsid w:val="00FB4C68"/>
    <w:rsid w:val="00FB65FE"/>
    <w:rsid w:val="00FB6CCE"/>
    <w:rsid w:val="00FB6DC7"/>
    <w:rsid w:val="00FB79AD"/>
    <w:rsid w:val="00FC2E3B"/>
    <w:rsid w:val="00FC498D"/>
    <w:rsid w:val="00FC4B12"/>
    <w:rsid w:val="00FC543D"/>
    <w:rsid w:val="00FC6004"/>
    <w:rsid w:val="00FC617B"/>
    <w:rsid w:val="00FD1AE1"/>
    <w:rsid w:val="00FD471F"/>
    <w:rsid w:val="00FD4DB3"/>
    <w:rsid w:val="00FD50BC"/>
    <w:rsid w:val="00FD53AD"/>
    <w:rsid w:val="00FD5D18"/>
    <w:rsid w:val="00FE0FE3"/>
    <w:rsid w:val="00FE15D3"/>
    <w:rsid w:val="00FE1795"/>
    <w:rsid w:val="00FE1895"/>
    <w:rsid w:val="00FE1C78"/>
    <w:rsid w:val="00FE582D"/>
    <w:rsid w:val="00FE5DF4"/>
    <w:rsid w:val="00FE5F52"/>
    <w:rsid w:val="00FE697D"/>
    <w:rsid w:val="00FF42A4"/>
    <w:rsid w:val="00FF6998"/>
    <w:rsid w:val="00FF7365"/>
    <w:rsid w:val="00FF7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5:docId w15:val="{C43D369D-EB70-4819-B09F-6EAC7F287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0C5"/>
    <w:rPr>
      <w:sz w:val="24"/>
      <w:szCs w:val="24"/>
    </w:rPr>
  </w:style>
  <w:style w:type="paragraph" w:styleId="Heading1">
    <w:name w:val="heading 1"/>
    <w:basedOn w:val="Normal"/>
    <w:next w:val="Normal"/>
    <w:link w:val="Heading1Char"/>
    <w:uiPriority w:val="9"/>
    <w:qFormat/>
    <w:rsid w:val="004545C8"/>
    <w:pPr>
      <w:keepNext/>
      <w:widowControl w:val="0"/>
      <w:tabs>
        <w:tab w:val="left" w:pos="-720"/>
      </w:tabs>
      <w:suppressAutoHyphens/>
      <w:snapToGrid w:val="0"/>
      <w:jc w:val="center"/>
      <w:outlineLvl w:val="0"/>
    </w:pPr>
    <w:rPr>
      <w:b/>
      <w:spacing w:val="-3"/>
      <w:sz w:val="40"/>
      <w:szCs w:val="20"/>
    </w:rPr>
  </w:style>
  <w:style w:type="paragraph" w:styleId="Heading2">
    <w:name w:val="heading 2"/>
    <w:basedOn w:val="Normal"/>
    <w:next w:val="Normal"/>
    <w:link w:val="Heading2Char"/>
    <w:uiPriority w:val="9"/>
    <w:qFormat/>
    <w:rsid w:val="004545C8"/>
    <w:pPr>
      <w:keepNext/>
      <w:widowControl w:val="0"/>
      <w:suppressAutoHyphens/>
      <w:snapToGrid w:val="0"/>
      <w:jc w:val="center"/>
      <w:outlineLvl w:val="1"/>
    </w:pPr>
    <w:rPr>
      <w:b/>
      <w:spacing w:val="-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760C5"/>
    <w:pPr>
      <w:tabs>
        <w:tab w:val="center" w:pos="4320"/>
        <w:tab w:val="right" w:pos="8640"/>
      </w:tabs>
    </w:pPr>
  </w:style>
  <w:style w:type="paragraph" w:styleId="Footer">
    <w:name w:val="footer"/>
    <w:basedOn w:val="Normal"/>
    <w:rsid w:val="008760C5"/>
    <w:pPr>
      <w:tabs>
        <w:tab w:val="center" w:pos="4320"/>
        <w:tab w:val="right" w:pos="8640"/>
      </w:tabs>
    </w:pPr>
  </w:style>
  <w:style w:type="character" w:styleId="PageNumber">
    <w:name w:val="page number"/>
    <w:basedOn w:val="DefaultParagraphFont"/>
    <w:uiPriority w:val="99"/>
    <w:rsid w:val="008760C5"/>
  </w:style>
  <w:style w:type="paragraph" w:styleId="ListParagraph">
    <w:name w:val="List Paragraph"/>
    <w:basedOn w:val="Normal"/>
    <w:uiPriority w:val="34"/>
    <w:qFormat/>
    <w:rsid w:val="0067260B"/>
    <w:pPr>
      <w:ind w:left="720"/>
      <w:contextualSpacing/>
    </w:pPr>
  </w:style>
  <w:style w:type="character" w:customStyle="1" w:styleId="HeaderChar">
    <w:name w:val="Header Char"/>
    <w:basedOn w:val="DefaultParagraphFont"/>
    <w:link w:val="Header"/>
    <w:uiPriority w:val="99"/>
    <w:rsid w:val="009152E6"/>
    <w:rPr>
      <w:sz w:val="24"/>
      <w:szCs w:val="24"/>
    </w:rPr>
  </w:style>
  <w:style w:type="character" w:customStyle="1" w:styleId="Heading1Char">
    <w:name w:val="Heading 1 Char"/>
    <w:basedOn w:val="DefaultParagraphFont"/>
    <w:link w:val="Heading1"/>
    <w:uiPriority w:val="9"/>
    <w:rsid w:val="004545C8"/>
    <w:rPr>
      <w:b/>
      <w:spacing w:val="-3"/>
      <w:sz w:val="40"/>
    </w:rPr>
  </w:style>
  <w:style w:type="character" w:customStyle="1" w:styleId="Heading2Char">
    <w:name w:val="Heading 2 Char"/>
    <w:basedOn w:val="DefaultParagraphFont"/>
    <w:link w:val="Heading2"/>
    <w:uiPriority w:val="9"/>
    <w:rsid w:val="004545C8"/>
    <w:rPr>
      <w:b/>
      <w:spacing w:val="-3"/>
      <w:sz w:val="24"/>
    </w:rPr>
  </w:style>
  <w:style w:type="paragraph" w:styleId="TOC6">
    <w:name w:val="toc 6"/>
    <w:basedOn w:val="Normal"/>
    <w:next w:val="Normal"/>
    <w:autoRedefine/>
    <w:uiPriority w:val="39"/>
    <w:rsid w:val="004545C8"/>
    <w:pPr>
      <w:widowControl w:val="0"/>
      <w:suppressAutoHyphens/>
      <w:snapToGrid w:val="0"/>
      <w:ind w:left="360" w:hanging="360"/>
    </w:pPr>
    <w:rPr>
      <w:spacing w:val="-3"/>
      <w:szCs w:val="20"/>
    </w:rPr>
  </w:style>
  <w:style w:type="paragraph" w:styleId="EndnoteText">
    <w:name w:val="endnote text"/>
    <w:basedOn w:val="Normal"/>
    <w:link w:val="EndnoteTextChar"/>
    <w:uiPriority w:val="99"/>
    <w:rsid w:val="004545C8"/>
    <w:pPr>
      <w:widowControl w:val="0"/>
      <w:snapToGrid w:val="0"/>
    </w:pPr>
    <w:rPr>
      <w:szCs w:val="20"/>
    </w:rPr>
  </w:style>
  <w:style w:type="character" w:customStyle="1" w:styleId="EndnoteTextChar">
    <w:name w:val="Endnote Text Char"/>
    <w:basedOn w:val="DefaultParagraphFont"/>
    <w:link w:val="EndnoteText"/>
    <w:uiPriority w:val="99"/>
    <w:rsid w:val="004545C8"/>
    <w:rPr>
      <w:sz w:val="24"/>
    </w:rPr>
  </w:style>
  <w:style w:type="paragraph" w:styleId="BodyTextIndent">
    <w:name w:val="Body Text Indent"/>
    <w:basedOn w:val="Normal"/>
    <w:link w:val="BodyTextIndentChar"/>
    <w:uiPriority w:val="99"/>
    <w:rsid w:val="004545C8"/>
    <w:pPr>
      <w:widowControl w:val="0"/>
      <w:tabs>
        <w:tab w:val="left" w:pos="-720"/>
        <w:tab w:val="left" w:pos="0"/>
      </w:tabs>
      <w:suppressAutoHyphens/>
      <w:snapToGrid w:val="0"/>
      <w:ind w:left="720" w:hanging="720"/>
    </w:pPr>
    <w:rPr>
      <w:spacing w:val="-3"/>
      <w:szCs w:val="20"/>
    </w:rPr>
  </w:style>
  <w:style w:type="character" w:customStyle="1" w:styleId="BodyTextIndentChar">
    <w:name w:val="Body Text Indent Char"/>
    <w:basedOn w:val="DefaultParagraphFont"/>
    <w:link w:val="BodyTextIndent"/>
    <w:uiPriority w:val="99"/>
    <w:rsid w:val="004545C8"/>
    <w:rPr>
      <w:spacing w:val="-3"/>
      <w:sz w:val="24"/>
    </w:rPr>
  </w:style>
  <w:style w:type="paragraph" w:styleId="BodyTextIndent2">
    <w:name w:val="Body Text Indent 2"/>
    <w:basedOn w:val="Normal"/>
    <w:link w:val="BodyTextIndent2Char"/>
    <w:uiPriority w:val="99"/>
    <w:rsid w:val="004545C8"/>
    <w:pPr>
      <w:widowControl w:val="0"/>
      <w:suppressAutoHyphens/>
      <w:snapToGrid w:val="0"/>
      <w:ind w:left="1440" w:hanging="720"/>
    </w:pPr>
    <w:rPr>
      <w:spacing w:val="-3"/>
      <w:szCs w:val="20"/>
    </w:rPr>
  </w:style>
  <w:style w:type="character" w:customStyle="1" w:styleId="BodyTextIndent2Char">
    <w:name w:val="Body Text Indent 2 Char"/>
    <w:basedOn w:val="DefaultParagraphFont"/>
    <w:link w:val="BodyTextIndent2"/>
    <w:uiPriority w:val="99"/>
    <w:rsid w:val="004545C8"/>
    <w:rPr>
      <w:spacing w:val="-3"/>
      <w:sz w:val="24"/>
    </w:rPr>
  </w:style>
  <w:style w:type="paragraph" w:customStyle="1" w:styleId="T1st">
    <w:name w:val="T_1st"/>
    <w:rsid w:val="004545C8"/>
    <w:pPr>
      <w:autoSpaceDE w:val="0"/>
      <w:autoSpaceDN w:val="0"/>
      <w:adjustRightInd w:val="0"/>
      <w:spacing w:line="240" w:lineRule="atLeast"/>
      <w:jc w:val="both"/>
    </w:pPr>
    <w:rPr>
      <w:rFonts w:ascii="Garamond" w:hAnsi="Garamond" w:cs="Garamond"/>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076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625</Words>
  <Characters>3747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Schweser</Company>
  <LinksUpToDate>false</LinksUpToDate>
  <CharactersWithSpaces>4364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 Kish</dc:creator>
  <cp:lastModifiedBy>Jeffrey Kish</cp:lastModifiedBy>
  <cp:revision>3</cp:revision>
  <dcterms:created xsi:type="dcterms:W3CDTF">2018-05-10T21:05:00Z</dcterms:created>
  <dcterms:modified xsi:type="dcterms:W3CDTF">2018-05-11T14:55:00Z</dcterms:modified>
</cp:coreProperties>
</file>