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E" w:rsidRPr="00FE1DBC" w:rsidRDefault="007C37BE" w:rsidP="007C37BE">
      <w:pPr>
        <w:widowControl w:val="0"/>
        <w:rPr>
          <w:b/>
        </w:rPr>
      </w:pPr>
    </w:p>
    <w:p w:rsidR="0016746F" w:rsidRDefault="0016746F" w:rsidP="0016746F">
      <w:pPr>
        <w:pStyle w:val="Title"/>
        <w:tabs>
          <w:tab w:val="clear" w:pos="-720"/>
          <w:tab w:val="left" w:pos="72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12 Outline</w:t>
      </w:r>
    </w:p>
    <w:p w:rsidR="0016746F" w:rsidRDefault="0016746F" w:rsidP="0016746F">
      <w:pPr>
        <w:pStyle w:val="Title"/>
        <w:tabs>
          <w:tab w:val="clear" w:pos="-720"/>
          <w:tab w:val="left" w:pos="720"/>
        </w:tabs>
        <w:jc w:val="left"/>
        <w:rPr>
          <w:szCs w:val="24"/>
        </w:rPr>
      </w:pPr>
    </w:p>
    <w:p w:rsidR="0016746F" w:rsidRDefault="0016746F" w:rsidP="0016746F">
      <w:pPr>
        <w:suppressAutoHyphens/>
        <w:rPr>
          <w:b/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38308B" w:rsidP="0016746F">
      <w:pPr>
        <w:suppressAutoHyphens/>
        <w:rPr>
          <w:spacing w:val="-3"/>
        </w:rPr>
      </w:pPr>
      <w:r>
        <w:rPr>
          <w:spacing w:val="-3"/>
        </w:rPr>
        <w:t xml:space="preserve">Study of this </w:t>
      </w:r>
      <w:r w:rsidR="0016746F">
        <w:rPr>
          <w:spacing w:val="-3"/>
        </w:rPr>
        <w:t>unit should enable the student to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property characteristics that are included in the sales comparison approach matrix;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suitability of properties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comparables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adjustment values;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a dollar adjustment or percentage adjustment is appropriate;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the sales prices of comparable properties to reflect their differences from the subject property; 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sales comparison analysis; and </w:t>
      </w:r>
    </w:p>
    <w:p w:rsidR="0016746F" w:rsidRDefault="0016746F" w:rsidP="0016746F">
      <w:pPr>
        <w:pStyle w:val="T1st"/>
        <w:numPr>
          <w:ilvl w:val="0"/>
          <w:numId w:val="1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on the Sales Comparison Approach section of the URAR form that complies with the requirements of the Uniform Appraisal Dataset (UAD).</w:t>
      </w: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ab/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b/>
          <w:spacing w:val="-3"/>
        </w:rPr>
        <w:t>Unit Outline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16746F" w:rsidRDefault="0016746F" w:rsidP="0016746F">
      <w:pPr>
        <w:suppressAutoHyphens/>
        <w:ind w:left="144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Basics of the Sales Comparison Approach—appraiser collects, classifies, analyzes and interprets market data to determine the most probable selling price of a property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 xml:space="preserve"> Gather, Record, Verify, and analyze the Necessary Data </w:t>
      </w:r>
    </w:p>
    <w:p w:rsidR="0016746F" w:rsidRDefault="0016746F" w:rsidP="0016746F">
      <w:pPr>
        <w:pStyle w:val="BodyTextIndent"/>
        <w:numPr>
          <w:ilvl w:val="0"/>
          <w:numId w:val="3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Comparison grid—Sales Comparison Approach section of the URAR form (Figure        12.1) </w:t>
      </w:r>
    </w:p>
    <w:p w:rsidR="0016746F" w:rsidRDefault="0016746F" w:rsidP="0016746F">
      <w:pPr>
        <w:suppressAutoHyphens/>
        <w:ind w:left="1440" w:hanging="720"/>
      </w:pPr>
      <w:r w:rsidRPr="00F86E26">
        <w:rPr>
          <w:spacing w:val="-3"/>
        </w:rPr>
        <w:t>B.</w:t>
      </w:r>
      <w:r w:rsidRPr="00F86E26">
        <w:rPr>
          <w:spacing w:val="-3"/>
        </w:rPr>
        <w:tab/>
        <w:t>Compliance with UAD—reporting appraisal data that is more specific, consistent and accurate</w:t>
      </w:r>
    </w:p>
    <w:p w:rsidR="0016746F" w:rsidRDefault="0016746F" w:rsidP="0016746F">
      <w:pPr>
        <w:pStyle w:val="BodyTextIndent"/>
        <w:tabs>
          <w:tab w:val="left" w:pos="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 xml:space="preserve">List of descriptive or factual data about the subject and </w:t>
      </w:r>
      <w:proofErr w:type="spellStart"/>
      <w:r>
        <w:rPr>
          <w:szCs w:val="24"/>
        </w:rPr>
        <w:t>comparables</w:t>
      </w:r>
      <w:proofErr w:type="spellEnd"/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Address</w:t>
      </w:r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 Proximity to Subject</w:t>
      </w:r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 Sale Price</w:t>
      </w:r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 Sale Price/Gross Liv Area</w:t>
      </w:r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 Data Source(s)</w:t>
      </w:r>
    </w:p>
    <w:p w:rsidR="0016746F" w:rsidRDefault="0016746F" w:rsidP="0016746F">
      <w:pPr>
        <w:pStyle w:val="BodyTextIndent"/>
        <w:numPr>
          <w:ilvl w:val="0"/>
          <w:numId w:val="2"/>
        </w:numPr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 xml:space="preserve">     Verification Source(s)</w:t>
      </w:r>
    </w:p>
    <w:p w:rsidR="0016746F" w:rsidRDefault="0016746F" w:rsidP="0016746F">
      <w:pPr>
        <w:pStyle w:val="BodyTextIndent"/>
        <w:tabs>
          <w:tab w:val="left" w:pos="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>Remaining items on the list may require plus or minus adjustments</w:t>
      </w:r>
      <w:r>
        <w:rPr>
          <w:szCs w:val="24"/>
        </w:rPr>
        <w:tab/>
      </w:r>
    </w:p>
    <w:p w:rsidR="0016746F" w:rsidRDefault="0016746F" w:rsidP="0016746F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Sale or financing concessions (Figure 12.3) with description of current market in addendum (Figure 12.2)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Date of sale/time (Figure 12.4)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Location (Figure 12.5)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Leasehold/fee simple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Site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f.          View (Figure 12.6)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g.</w:t>
      </w:r>
      <w:r>
        <w:rPr>
          <w:spacing w:val="-3"/>
        </w:rPr>
        <w:tab/>
        <w:t>Design (style)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lastRenderedPageBreak/>
        <w:t>h.</w:t>
      </w:r>
      <w:r>
        <w:rPr>
          <w:spacing w:val="-3"/>
        </w:rPr>
        <w:tab/>
        <w:t>Quality of construction (Figure 12.7)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>.</w:t>
      </w:r>
      <w:r>
        <w:rPr>
          <w:spacing w:val="-3"/>
        </w:rPr>
        <w:tab/>
        <w:t>Actual age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j.</w:t>
      </w:r>
      <w:r>
        <w:rPr>
          <w:spacing w:val="-3"/>
        </w:rPr>
        <w:tab/>
        <w:t>Condition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k.</w:t>
      </w:r>
      <w:r>
        <w:rPr>
          <w:spacing w:val="-3"/>
        </w:rPr>
        <w:tab/>
        <w:t>Above-grade room count/gross living area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l.</w:t>
      </w:r>
      <w:r>
        <w:rPr>
          <w:spacing w:val="-3"/>
        </w:rPr>
        <w:tab/>
        <w:t xml:space="preserve">Basement and finished rooms below grade 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m.</w:t>
      </w:r>
      <w:r>
        <w:rPr>
          <w:spacing w:val="-3"/>
        </w:rPr>
        <w:tab/>
        <w:t>Functional utility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n.</w:t>
      </w:r>
      <w:r>
        <w:rPr>
          <w:spacing w:val="-3"/>
        </w:rPr>
        <w:tab/>
        <w:t>Heating/cooling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o.</w:t>
      </w:r>
      <w:r>
        <w:rPr>
          <w:spacing w:val="-3"/>
        </w:rPr>
        <w:tab/>
        <w:t>Energy-efficient items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p.</w:t>
      </w:r>
      <w:r>
        <w:rPr>
          <w:spacing w:val="-3"/>
        </w:rPr>
        <w:tab/>
        <w:t>Garage/carport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>q.</w:t>
      </w:r>
      <w:r>
        <w:rPr>
          <w:spacing w:val="-3"/>
        </w:rPr>
        <w:tab/>
        <w:t>Porch, patio, deck</w:t>
      </w:r>
    </w:p>
    <w:p w:rsidR="0016746F" w:rsidRDefault="0016746F" w:rsidP="0016746F">
      <w:pPr>
        <w:suppressAutoHyphens/>
        <w:ind w:left="1440" w:firstLine="720"/>
        <w:rPr>
          <w:spacing w:val="-3"/>
        </w:rPr>
      </w:pPr>
      <w:r>
        <w:rPr>
          <w:spacing w:val="-3"/>
        </w:rPr>
        <w:t xml:space="preserve"> r.</w:t>
      </w:r>
      <w:r>
        <w:rPr>
          <w:spacing w:val="-3"/>
        </w:rPr>
        <w:tab/>
        <w:t>Space for additional entries</w:t>
      </w:r>
    </w:p>
    <w:p w:rsidR="0016746F" w:rsidRDefault="0016746F" w:rsidP="0016746F">
      <w:pPr>
        <w:pStyle w:val="BodyTextIndent2"/>
        <w:ind w:left="0" w:firstLine="0"/>
        <w:rPr>
          <w:szCs w:val="24"/>
        </w:rPr>
      </w:pPr>
    </w:p>
    <w:p w:rsidR="0016746F" w:rsidRDefault="0038308B" w:rsidP="0016746F">
      <w:pPr>
        <w:suppressAutoHyphens/>
        <w:ind w:left="720" w:hanging="720"/>
      </w:pPr>
      <w:r>
        <w:t>III.</w:t>
      </w:r>
      <w:r>
        <w:tab/>
      </w:r>
      <w:bookmarkStart w:id="0" w:name="_GoBack"/>
      <w:bookmarkEnd w:id="0"/>
      <w:r w:rsidR="0016746F">
        <w:t xml:space="preserve">Form Opinion of Value by </w:t>
      </w:r>
      <w:proofErr w:type="gramStart"/>
      <w:r w:rsidR="0016746F">
        <w:t>Each</w:t>
      </w:r>
      <w:proofErr w:type="gramEnd"/>
      <w:r w:rsidR="0016746F">
        <w:t xml:space="preserve"> of the Three Approaches—appraiser would compare the value reached by </w:t>
      </w:r>
      <w:r w:rsidR="0016746F">
        <w:rPr>
          <w:spacing w:val="-3"/>
        </w:rPr>
        <w:t>sales comparison approach to the values reached by cost and income approaches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 xml:space="preserve"> Form Opinion of Value by Sales Comparison Approach</w:t>
      </w: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Adjustment process—four major categories:</w:t>
      </w:r>
    </w:p>
    <w:p w:rsidR="0016746F" w:rsidRDefault="0016746F" w:rsidP="0016746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Date of sale</w:t>
      </w:r>
    </w:p>
    <w:p w:rsidR="0016746F" w:rsidRDefault="0016746F" w:rsidP="0016746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Location</w:t>
      </w:r>
    </w:p>
    <w:p w:rsidR="0016746F" w:rsidRDefault="0016746F" w:rsidP="0016746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Physical features</w:t>
      </w:r>
    </w:p>
    <w:p w:rsidR="0016746F" w:rsidRDefault="0016746F" w:rsidP="0016746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Terms and conditions of sale</w:t>
      </w:r>
    </w:p>
    <w:p w:rsidR="0016746F" w:rsidRDefault="0016746F" w:rsidP="0016746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Types of adjustments—dollar or percentage</w:t>
      </w:r>
    </w:p>
    <w:p w:rsidR="0016746F" w:rsidRDefault="0016746F" w:rsidP="0016746F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Compute adjustment values—Sales Price Adjustment Chart (Figure 12.8)—matched pairs analysis (MPA) technique</w:t>
      </w:r>
    </w:p>
    <w:p w:rsidR="0016746F" w:rsidRDefault="0016746F" w:rsidP="0016746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Time adjustment</w:t>
      </w:r>
    </w:p>
    <w:p w:rsidR="0016746F" w:rsidRDefault="0016746F" w:rsidP="0016746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Location</w:t>
      </w:r>
    </w:p>
    <w:p w:rsidR="0016746F" w:rsidRDefault="0016746F" w:rsidP="0016746F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Commercial area</w:t>
      </w:r>
    </w:p>
    <w:p w:rsidR="0016746F" w:rsidRDefault="0016746F" w:rsidP="0016746F">
      <w:pPr>
        <w:pStyle w:val="Heading2"/>
        <w:rPr>
          <w:szCs w:val="24"/>
        </w:rPr>
      </w:pPr>
    </w:p>
    <w:p w:rsidR="0016746F" w:rsidRDefault="0016746F" w:rsidP="0016746F">
      <w:pPr>
        <w:pStyle w:val="Heading2"/>
        <w:rPr>
          <w:szCs w:val="24"/>
        </w:rPr>
      </w:pPr>
      <w:r>
        <w:rPr>
          <w:szCs w:val="24"/>
        </w:rPr>
        <w:t>Exercise 12-1</w:t>
      </w:r>
    </w:p>
    <w:p w:rsidR="0016746F" w:rsidRDefault="0016746F" w:rsidP="0016746F"/>
    <w:p w:rsidR="0016746F" w:rsidRDefault="0016746F" w:rsidP="0016746F">
      <w:pPr>
        <w:pStyle w:val="BodyTextIndent3"/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Sequence of adjustments—those affecting the overall property value made first, followed by those affecting only individual property features</w:t>
      </w:r>
    </w:p>
    <w:p w:rsidR="0016746F" w:rsidRDefault="0016746F" w:rsidP="0016746F">
      <w:pPr>
        <w:pStyle w:val="Heading2"/>
        <w:rPr>
          <w:szCs w:val="24"/>
        </w:rPr>
      </w:pPr>
    </w:p>
    <w:p w:rsidR="0016746F" w:rsidRDefault="0016746F" w:rsidP="0016746F">
      <w:pPr>
        <w:pStyle w:val="Heading2"/>
        <w:rPr>
          <w:szCs w:val="24"/>
        </w:rPr>
      </w:pPr>
      <w:r>
        <w:rPr>
          <w:szCs w:val="24"/>
        </w:rPr>
        <w:t>Exercise 12-2</w:t>
      </w:r>
    </w:p>
    <w:p w:rsidR="0016746F" w:rsidRDefault="0016746F" w:rsidP="0016746F"/>
    <w:p w:rsidR="0016746F" w:rsidRDefault="0016746F" w:rsidP="0016746F">
      <w:pPr>
        <w:suppressAutoHyphens/>
        <w:ind w:left="1440" w:hanging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Record information—Sales Comparison Analysis section of the URAR form (Figures 12.11 and 12.12)</w:t>
      </w:r>
    </w:p>
    <w:p w:rsidR="0016746F" w:rsidRDefault="0016746F" w:rsidP="0016746F">
      <w:pPr>
        <w:pStyle w:val="Heading2"/>
        <w:rPr>
          <w:szCs w:val="24"/>
        </w:rPr>
      </w:pPr>
    </w:p>
    <w:p w:rsidR="0016746F" w:rsidRDefault="0016746F" w:rsidP="0016746F">
      <w:pPr>
        <w:pStyle w:val="Heading2"/>
        <w:rPr>
          <w:szCs w:val="24"/>
        </w:rPr>
      </w:pPr>
      <w:r>
        <w:rPr>
          <w:szCs w:val="24"/>
        </w:rPr>
        <w:t>Exercise 12-3</w:t>
      </w:r>
    </w:p>
    <w:p w:rsidR="0016746F" w:rsidRDefault="0016746F" w:rsidP="0016746F"/>
    <w:p w:rsidR="0016746F" w:rsidRDefault="0016746F" w:rsidP="0016746F">
      <w:pPr>
        <w:pStyle w:val="BodyTextIndent3"/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Net adjustments—total the dollar amount of the positive and negative adjustments for each comp</w:t>
      </w:r>
    </w:p>
    <w:p w:rsidR="0016746F" w:rsidRDefault="0016746F" w:rsidP="0016746F">
      <w:pPr>
        <w:pStyle w:val="BodyTextIndent3"/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 xml:space="preserve">Adjusted sales price of </w:t>
      </w:r>
      <w:proofErr w:type="spellStart"/>
      <w:r>
        <w:rPr>
          <w:sz w:val="24"/>
          <w:szCs w:val="24"/>
        </w:rPr>
        <w:t>comparables</w:t>
      </w:r>
      <w:proofErr w:type="spellEnd"/>
      <w:r>
        <w:rPr>
          <w:sz w:val="24"/>
          <w:szCs w:val="24"/>
        </w:rPr>
        <w:t>—net adjustment figure added to or subtracted from sales price to arrive at adjusted value</w:t>
      </w:r>
    </w:p>
    <w:p w:rsidR="0016746F" w:rsidRDefault="0016746F" w:rsidP="0016746F">
      <w:pPr>
        <w:pStyle w:val="BodyTextIndent3"/>
        <w:ind w:left="720"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Net adjustment %—divide total net dollar adjustment by comp’s sale price</w:t>
      </w:r>
    </w:p>
    <w:p w:rsidR="0016746F" w:rsidRDefault="0016746F" w:rsidP="0016746F">
      <w:pPr>
        <w:pStyle w:val="BodyTextIndent3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Gross adjustment %—divide total dollar adjustment by comp’s sale price</w:t>
      </w:r>
    </w:p>
    <w:p w:rsidR="0016746F" w:rsidRDefault="0016746F" w:rsidP="0016746F">
      <w:pPr>
        <w:pStyle w:val="Heading2"/>
        <w:rPr>
          <w:szCs w:val="24"/>
        </w:rPr>
      </w:pPr>
    </w:p>
    <w:p w:rsidR="0016746F" w:rsidRDefault="0016746F" w:rsidP="0016746F">
      <w:pPr>
        <w:pStyle w:val="Heading2"/>
        <w:rPr>
          <w:szCs w:val="24"/>
        </w:rPr>
      </w:pPr>
      <w:r>
        <w:rPr>
          <w:szCs w:val="24"/>
        </w:rPr>
        <w:t>Exercise 12-4</w:t>
      </w:r>
    </w:p>
    <w:p w:rsidR="0016746F" w:rsidRDefault="0016746F" w:rsidP="0016746F"/>
    <w:p w:rsidR="0016746F" w:rsidRDefault="0016746F" w:rsidP="0016746F">
      <w:pPr>
        <w:suppressAutoHyphens/>
        <w:ind w:firstLine="720"/>
        <w:rPr>
          <w:spacing w:val="-3"/>
        </w:rPr>
      </w:pPr>
      <w:r>
        <w:rPr>
          <w:spacing w:val="-3"/>
        </w:rPr>
        <w:t>J.</w:t>
      </w:r>
      <w:r>
        <w:rPr>
          <w:spacing w:val="-3"/>
        </w:rPr>
        <w:tab/>
        <w:t>Opinion of value—determine market value using the adjusted values compiled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pStyle w:val="Heading2"/>
        <w:rPr>
          <w:szCs w:val="24"/>
        </w:rPr>
      </w:pPr>
    </w:p>
    <w:p w:rsidR="0016746F" w:rsidRDefault="0016746F" w:rsidP="0016746F">
      <w:pPr>
        <w:pStyle w:val="Heading2"/>
        <w:rPr>
          <w:szCs w:val="24"/>
        </w:rPr>
      </w:pPr>
      <w:r>
        <w:rPr>
          <w:szCs w:val="24"/>
        </w:rPr>
        <w:t>Exercise 12-5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>V.</w:t>
      </w:r>
      <w:r>
        <w:rPr>
          <w:spacing w:val="-3"/>
        </w:rPr>
        <w:tab/>
        <w:t>Application of Sales Comparison Approach</w:t>
      </w:r>
    </w:p>
    <w:p w:rsidR="0016746F" w:rsidRDefault="0016746F" w:rsidP="0016746F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Simple to use and understand</w:t>
      </w:r>
    </w:p>
    <w:p w:rsidR="0016746F" w:rsidRDefault="0016746F" w:rsidP="0016746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Frequently used in court cases, such as divorce or estate settlements</w:t>
      </w:r>
    </w:p>
    <w:p w:rsidR="0016746F" w:rsidRDefault="0016746F" w:rsidP="0016746F">
      <w:pPr>
        <w:suppressAutoHyphens/>
        <w:ind w:left="144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 xml:space="preserve">Limited by the availability of comparable properties and the accuracy of appraiser's judgment in determining the value of adjustments 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16746F" w:rsidRDefault="0016746F" w:rsidP="0016746F">
      <w:pPr>
        <w:suppressAutoHyphens/>
        <w:rPr>
          <w:spacing w:val="-3"/>
        </w:rPr>
      </w:pPr>
    </w:p>
    <w:p w:rsidR="0016746F" w:rsidRDefault="0016746F" w:rsidP="0016746F">
      <w:pPr>
        <w:suppressAutoHyphens/>
        <w:rPr>
          <w:spacing w:val="-3"/>
        </w:rPr>
      </w:pPr>
      <w:r>
        <w:rPr>
          <w:spacing w:val="-3"/>
        </w:rPr>
        <w:t>Review Questions</w:t>
      </w: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6C8"/>
    <w:multiLevelType w:val="hybridMultilevel"/>
    <w:tmpl w:val="D12C1802"/>
    <w:lvl w:ilvl="0" w:tplc="825A1DF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7C52CE"/>
    <w:multiLevelType w:val="hybridMultilevel"/>
    <w:tmpl w:val="BA6C3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11838"/>
    <w:multiLevelType w:val="hybridMultilevel"/>
    <w:tmpl w:val="EB0A7C5A"/>
    <w:lvl w:ilvl="0" w:tplc="D2C2D3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6746F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308B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46F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46F"/>
    <w:rPr>
      <w:b/>
      <w:spacing w:val="-3"/>
      <w:sz w:val="24"/>
    </w:rPr>
  </w:style>
  <w:style w:type="paragraph" w:styleId="BodyTextIndent">
    <w:name w:val="Body Text Indent"/>
    <w:basedOn w:val="Normal"/>
    <w:link w:val="BodyTextIndentChar"/>
    <w:uiPriority w:val="99"/>
    <w:rsid w:val="0016746F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746F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6746F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746F"/>
    <w:rPr>
      <w:spacing w:val="-3"/>
      <w:sz w:val="24"/>
    </w:rPr>
  </w:style>
  <w:style w:type="paragraph" w:customStyle="1" w:styleId="T1st">
    <w:name w:val="T_1st"/>
    <w:rsid w:val="0016746F"/>
    <w:pPr>
      <w:autoSpaceDE w:val="0"/>
      <w:autoSpaceDN w:val="0"/>
      <w:adjustRightInd w:val="0"/>
      <w:spacing w:line="240" w:lineRule="atLeast"/>
      <w:jc w:val="both"/>
    </w:pPr>
    <w:rPr>
      <w:rFonts w:ascii="Garamond" w:hAnsi="Garamond" w:cs="Garamond"/>
      <w:color w:val="000000"/>
      <w:w w:val="0"/>
    </w:rPr>
  </w:style>
  <w:style w:type="paragraph" w:styleId="Title">
    <w:name w:val="Title"/>
    <w:basedOn w:val="Normal"/>
    <w:link w:val="TitleChar"/>
    <w:uiPriority w:val="10"/>
    <w:qFormat/>
    <w:rsid w:val="0016746F"/>
    <w:pPr>
      <w:widowControl w:val="0"/>
      <w:tabs>
        <w:tab w:val="left" w:pos="-720"/>
      </w:tabs>
      <w:suppressAutoHyphens/>
      <w:snapToGrid w:val="0"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746F"/>
    <w:rPr>
      <w:b/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1674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674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2018-05-10T21:43:00Z</dcterms:created>
  <dcterms:modified xsi:type="dcterms:W3CDTF">2018-05-11T15:14:00Z</dcterms:modified>
</cp:coreProperties>
</file>