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36" w:rsidRDefault="00357436" w:rsidP="00357436">
      <w:pPr>
        <w:suppressAutoHyphens/>
        <w:jc w:val="center"/>
        <w:rPr>
          <w:rFonts w:ascii="Arial" w:hAnsi="Arial" w:cs="Arial"/>
          <w:spacing w:val="-3"/>
          <w:sz w:val="32"/>
          <w:szCs w:val="32"/>
        </w:rPr>
      </w:pPr>
      <w:r>
        <w:rPr>
          <w:rFonts w:ascii="Arial" w:hAnsi="Arial" w:cs="Arial"/>
          <w:b/>
          <w:spacing w:val="-3"/>
          <w:sz w:val="32"/>
          <w:szCs w:val="32"/>
        </w:rPr>
        <w:t>Unit 14 Outline</w:t>
      </w:r>
    </w:p>
    <w:p w:rsidR="00357436" w:rsidRDefault="00357436" w:rsidP="00357436">
      <w:pPr>
        <w:suppressAutoHyphens/>
        <w:rPr>
          <w:spacing w:val="-3"/>
        </w:rPr>
      </w:pPr>
    </w:p>
    <w:p w:rsidR="00357436" w:rsidRDefault="00357436" w:rsidP="00357436">
      <w:pPr>
        <w:suppressAutoHyphens/>
        <w:rPr>
          <w:spacing w:val="-3"/>
        </w:rPr>
      </w:pPr>
    </w:p>
    <w:p w:rsidR="00357436" w:rsidRDefault="00357436" w:rsidP="00357436">
      <w:pPr>
        <w:suppressAutoHyphens/>
        <w:rPr>
          <w:spacing w:val="-3"/>
        </w:rPr>
      </w:pPr>
      <w:r>
        <w:rPr>
          <w:b/>
          <w:spacing w:val="-3"/>
        </w:rPr>
        <w:t>Learning Objectives</w:t>
      </w:r>
    </w:p>
    <w:p w:rsidR="00357436" w:rsidRDefault="00357436" w:rsidP="00357436">
      <w:pPr>
        <w:suppressAutoHyphens/>
        <w:rPr>
          <w:spacing w:val="-3"/>
        </w:rPr>
      </w:pPr>
    </w:p>
    <w:p w:rsidR="00357436" w:rsidRDefault="00F22FEF" w:rsidP="00357436">
      <w:pPr>
        <w:suppressAutoHyphens/>
        <w:rPr>
          <w:spacing w:val="-3"/>
        </w:rPr>
      </w:pPr>
      <w:r>
        <w:rPr>
          <w:spacing w:val="-3"/>
        </w:rPr>
        <w:t xml:space="preserve">Study of this </w:t>
      </w:r>
      <w:r w:rsidR="00357436">
        <w:rPr>
          <w:spacing w:val="-3"/>
        </w:rPr>
        <w:t>unit should enable the student to</w:t>
      </w:r>
    </w:p>
    <w:p w:rsidR="00357436" w:rsidRDefault="00357436" w:rsidP="00357436">
      <w:pPr>
        <w:widowControl w:val="0"/>
        <w:numPr>
          <w:ilvl w:val="0"/>
          <w:numId w:val="49"/>
        </w:numPr>
        <w:suppressAutoHyphens/>
        <w:snapToGrid w:val="0"/>
        <w:rPr>
          <w:spacing w:val="-3"/>
        </w:rPr>
      </w:pPr>
      <w:r>
        <w:rPr>
          <w:spacing w:val="-3"/>
        </w:rPr>
        <w:t>identify the two ways of capitalizing income;</w:t>
      </w:r>
    </w:p>
    <w:p w:rsidR="00357436" w:rsidRDefault="00357436" w:rsidP="00357436">
      <w:pPr>
        <w:widowControl w:val="0"/>
        <w:numPr>
          <w:ilvl w:val="0"/>
          <w:numId w:val="49"/>
        </w:numPr>
        <w:suppressAutoHyphens/>
        <w:snapToGrid w:val="0"/>
        <w:rPr>
          <w:spacing w:val="-3"/>
        </w:rPr>
      </w:pPr>
      <w:r>
        <w:rPr>
          <w:spacing w:val="-3"/>
        </w:rPr>
        <w:t>compare and contrast direct capitalization and yield capitalization;</w:t>
      </w:r>
    </w:p>
    <w:p w:rsidR="00357436" w:rsidRDefault="00357436" w:rsidP="00357436">
      <w:pPr>
        <w:widowControl w:val="0"/>
        <w:numPr>
          <w:ilvl w:val="0"/>
          <w:numId w:val="49"/>
        </w:numPr>
        <w:suppressAutoHyphens/>
        <w:snapToGrid w:val="0"/>
        <w:rPr>
          <w:spacing w:val="-3"/>
        </w:rPr>
      </w:pPr>
      <w:r>
        <w:rPr>
          <w:spacing w:val="-3"/>
        </w:rPr>
        <w:t>develop a capitalization rate;</w:t>
      </w:r>
    </w:p>
    <w:p w:rsidR="00357436" w:rsidRDefault="00357436" w:rsidP="00357436">
      <w:pPr>
        <w:widowControl w:val="0"/>
        <w:numPr>
          <w:ilvl w:val="0"/>
          <w:numId w:val="49"/>
        </w:numPr>
        <w:suppressAutoHyphens/>
        <w:snapToGrid w:val="0"/>
        <w:rPr>
          <w:spacing w:val="-3"/>
        </w:rPr>
      </w:pPr>
      <w:r>
        <w:rPr>
          <w:spacing w:val="-3"/>
        </w:rPr>
        <w:t>develop a cap rate using the band of investment method;</w:t>
      </w:r>
    </w:p>
    <w:p w:rsidR="00357436" w:rsidRDefault="00357436" w:rsidP="00357436">
      <w:pPr>
        <w:widowControl w:val="0"/>
        <w:numPr>
          <w:ilvl w:val="0"/>
          <w:numId w:val="49"/>
        </w:numPr>
        <w:suppressAutoHyphens/>
        <w:snapToGrid w:val="0"/>
        <w:rPr>
          <w:spacing w:val="-3"/>
        </w:rPr>
      </w:pPr>
      <w:r>
        <w:rPr>
          <w:spacing w:val="-3"/>
        </w:rPr>
        <w:t>explain the relationship between cap rate and risk;</w:t>
      </w:r>
    </w:p>
    <w:p w:rsidR="00357436" w:rsidRDefault="00357436" w:rsidP="00357436">
      <w:pPr>
        <w:widowControl w:val="0"/>
        <w:numPr>
          <w:ilvl w:val="0"/>
          <w:numId w:val="49"/>
        </w:numPr>
        <w:suppressAutoHyphens/>
        <w:snapToGrid w:val="0"/>
        <w:rPr>
          <w:spacing w:val="-3"/>
        </w:rPr>
      </w:pPr>
      <w:r>
        <w:rPr>
          <w:spacing w:val="-3"/>
        </w:rPr>
        <w:t>compute the value of a property using the building, land, and property residual techniques;</w:t>
      </w:r>
    </w:p>
    <w:p w:rsidR="00357436" w:rsidRDefault="00357436" w:rsidP="00357436">
      <w:pPr>
        <w:widowControl w:val="0"/>
        <w:numPr>
          <w:ilvl w:val="0"/>
          <w:numId w:val="49"/>
        </w:numPr>
        <w:suppressAutoHyphens/>
        <w:snapToGrid w:val="0"/>
        <w:rPr>
          <w:spacing w:val="-3"/>
        </w:rPr>
      </w:pPr>
      <w:r>
        <w:rPr>
          <w:spacing w:val="-3"/>
        </w:rPr>
        <w:t>explain the effects of the annuity and straight-line methods of recapture on income; and</w:t>
      </w:r>
    </w:p>
    <w:p w:rsidR="00357436" w:rsidRDefault="00357436" w:rsidP="00357436">
      <w:pPr>
        <w:widowControl w:val="0"/>
        <w:numPr>
          <w:ilvl w:val="0"/>
          <w:numId w:val="49"/>
        </w:numPr>
        <w:suppressAutoHyphens/>
        <w:snapToGrid w:val="0"/>
        <w:rPr>
          <w:spacing w:val="-3"/>
        </w:rPr>
      </w:pPr>
      <w:proofErr w:type="gramStart"/>
      <w:r>
        <w:rPr>
          <w:spacing w:val="-3"/>
        </w:rPr>
        <w:t>find</w:t>
      </w:r>
      <w:proofErr w:type="gramEnd"/>
      <w:r>
        <w:rPr>
          <w:spacing w:val="-3"/>
        </w:rPr>
        <w:t xml:space="preserve"> the present worth of a property using the annuity method of capitalization. </w:t>
      </w:r>
    </w:p>
    <w:p w:rsidR="00357436" w:rsidRDefault="00357436" w:rsidP="00357436">
      <w:pPr>
        <w:suppressAutoHyphens/>
        <w:rPr>
          <w:spacing w:val="-3"/>
        </w:rPr>
      </w:pPr>
    </w:p>
    <w:p w:rsidR="00357436" w:rsidRDefault="00357436" w:rsidP="00357436">
      <w:pPr>
        <w:suppressAutoHyphens/>
        <w:rPr>
          <w:spacing w:val="-3"/>
        </w:rPr>
      </w:pPr>
    </w:p>
    <w:p w:rsidR="00357436" w:rsidRDefault="00357436" w:rsidP="00357436">
      <w:pPr>
        <w:suppressAutoHyphens/>
        <w:rPr>
          <w:spacing w:val="-3"/>
        </w:rPr>
      </w:pPr>
      <w:r>
        <w:rPr>
          <w:b/>
          <w:spacing w:val="-3"/>
        </w:rPr>
        <w:t xml:space="preserve"> Unit Outline</w:t>
      </w:r>
    </w:p>
    <w:p w:rsidR="00357436" w:rsidRDefault="00357436" w:rsidP="00357436">
      <w:pPr>
        <w:suppressAutoHyphens/>
        <w:rPr>
          <w:spacing w:val="-3"/>
        </w:rPr>
      </w:pPr>
    </w:p>
    <w:p w:rsidR="00357436" w:rsidRDefault="00357436" w:rsidP="00357436">
      <w:pPr>
        <w:suppressAutoHyphens/>
        <w:rPr>
          <w:spacing w:val="-3"/>
        </w:rPr>
      </w:pPr>
      <w:r>
        <w:rPr>
          <w:spacing w:val="-3"/>
        </w:rPr>
        <w:t>I.</w:t>
      </w:r>
      <w:r>
        <w:rPr>
          <w:spacing w:val="-3"/>
        </w:rPr>
        <w:tab/>
        <w:t>Overview</w:t>
      </w:r>
    </w:p>
    <w:p w:rsidR="00357436" w:rsidRDefault="00357436" w:rsidP="00357436">
      <w:pPr>
        <w:pStyle w:val="TOC6"/>
        <w:ind w:left="0" w:firstLine="0"/>
        <w:rPr>
          <w:szCs w:val="24"/>
        </w:rPr>
      </w:pPr>
    </w:p>
    <w:p w:rsidR="00357436" w:rsidRDefault="00357436" w:rsidP="00357436">
      <w:pPr>
        <w:suppressAutoHyphens/>
        <w:rPr>
          <w:spacing w:val="-3"/>
        </w:rPr>
      </w:pPr>
      <w:r>
        <w:rPr>
          <w:spacing w:val="-3"/>
        </w:rPr>
        <w:t>II.</w:t>
      </w:r>
      <w:r>
        <w:rPr>
          <w:spacing w:val="-3"/>
        </w:rPr>
        <w:tab/>
        <w:t xml:space="preserve">Direct Capitalization </w:t>
      </w:r>
    </w:p>
    <w:p w:rsidR="00357436" w:rsidRDefault="00357436" w:rsidP="00357436">
      <w:pPr>
        <w:pStyle w:val="BodyTextIndent2"/>
        <w:rPr>
          <w:szCs w:val="24"/>
        </w:rPr>
      </w:pPr>
      <w:r>
        <w:rPr>
          <w:szCs w:val="24"/>
        </w:rPr>
        <w:t>A.</w:t>
      </w:r>
      <w:r>
        <w:rPr>
          <w:szCs w:val="24"/>
        </w:rPr>
        <w:tab/>
        <w:t>Based on premise that there is a relationship between the income a property can earn and the property's value</w:t>
      </w:r>
    </w:p>
    <w:p w:rsidR="00357436" w:rsidRDefault="00357436" w:rsidP="00357436">
      <w:pPr>
        <w:suppressAutoHyphens/>
        <w:ind w:firstLine="720"/>
        <w:rPr>
          <w:spacing w:val="-3"/>
        </w:rPr>
      </w:pPr>
      <w:r>
        <w:rPr>
          <w:spacing w:val="-3"/>
        </w:rPr>
        <w:t>B.</w:t>
      </w:r>
      <w:r>
        <w:rPr>
          <w:spacing w:val="-3"/>
        </w:rPr>
        <w:tab/>
        <w:t>Formula: net operating income divided by capitalization rate equals value</w:t>
      </w:r>
    </w:p>
    <w:p w:rsidR="00357436" w:rsidRDefault="00357436" w:rsidP="00357436">
      <w:pPr>
        <w:pStyle w:val="BodyTextIndent"/>
        <w:tabs>
          <w:tab w:val="clear" w:pos="0"/>
        </w:tabs>
        <w:ind w:left="1440"/>
        <w:rPr>
          <w:szCs w:val="24"/>
        </w:rPr>
      </w:pPr>
      <w:r>
        <w:rPr>
          <w:szCs w:val="24"/>
        </w:rPr>
        <w:t>C.</w:t>
      </w:r>
      <w:r>
        <w:rPr>
          <w:szCs w:val="24"/>
        </w:rPr>
        <w:tab/>
        <w:t>Data needed includes potential gross income, effective gross income, net operating income and capitalization rate</w:t>
      </w:r>
    </w:p>
    <w:p w:rsidR="00357436" w:rsidRDefault="00357436" w:rsidP="00357436">
      <w:pPr>
        <w:suppressAutoHyphens/>
        <w:rPr>
          <w:spacing w:val="-3"/>
        </w:rPr>
      </w:pPr>
    </w:p>
    <w:p w:rsidR="00357436" w:rsidRDefault="00357436" w:rsidP="00357436">
      <w:pPr>
        <w:suppressAutoHyphens/>
        <w:ind w:left="720" w:hanging="720"/>
        <w:rPr>
          <w:spacing w:val="-3"/>
        </w:rPr>
      </w:pPr>
      <w:r>
        <w:rPr>
          <w:spacing w:val="-3"/>
        </w:rPr>
        <w:t>III.</w:t>
      </w:r>
      <w:r>
        <w:rPr>
          <w:spacing w:val="-3"/>
        </w:rPr>
        <w:tab/>
        <w:t xml:space="preserve">Capitalization Rate or Overall Capitalization Rate—rate of return investor receives </w:t>
      </w:r>
    </w:p>
    <w:p w:rsidR="00357436" w:rsidRPr="00F86E26" w:rsidRDefault="00357436" w:rsidP="00357436">
      <w:pPr>
        <w:pStyle w:val="ListParagraph"/>
        <w:widowControl w:val="0"/>
        <w:numPr>
          <w:ilvl w:val="0"/>
          <w:numId w:val="50"/>
        </w:numPr>
        <w:suppressAutoHyphens/>
        <w:snapToGrid w:val="0"/>
        <w:rPr>
          <w:spacing w:val="-3"/>
        </w:rPr>
      </w:pPr>
      <w:r w:rsidRPr="00F86E26">
        <w:rPr>
          <w:spacing w:val="-3"/>
        </w:rPr>
        <w:t xml:space="preserve">Net Operating Income divided by Value equals capitalization rate </w:t>
      </w:r>
    </w:p>
    <w:p w:rsidR="00357436" w:rsidRPr="00F86E26" w:rsidRDefault="00357436" w:rsidP="00357436">
      <w:pPr>
        <w:pStyle w:val="ListParagraph"/>
        <w:widowControl w:val="0"/>
        <w:numPr>
          <w:ilvl w:val="0"/>
          <w:numId w:val="50"/>
        </w:numPr>
        <w:suppressAutoHyphens/>
        <w:snapToGrid w:val="0"/>
        <w:rPr>
          <w:spacing w:val="-3"/>
        </w:rPr>
      </w:pPr>
      <w:r w:rsidRPr="00F86E26">
        <w:rPr>
          <w:spacing w:val="-3"/>
        </w:rPr>
        <w:t xml:space="preserve">Capitalization Rate multiplied by Value equals Net Operating Income </w:t>
      </w:r>
    </w:p>
    <w:p w:rsidR="00357436" w:rsidRPr="00F86E26" w:rsidRDefault="00357436" w:rsidP="00357436">
      <w:pPr>
        <w:pStyle w:val="ListParagraph"/>
        <w:widowControl w:val="0"/>
        <w:numPr>
          <w:ilvl w:val="0"/>
          <w:numId w:val="50"/>
        </w:numPr>
        <w:suppressAutoHyphens/>
        <w:snapToGrid w:val="0"/>
        <w:rPr>
          <w:spacing w:val="-3"/>
        </w:rPr>
      </w:pPr>
      <w:r w:rsidRPr="00F86E26">
        <w:rPr>
          <w:spacing w:val="-3"/>
        </w:rPr>
        <w:t>Net Operating Income divided by Capitalization Rate equals Value</w:t>
      </w:r>
    </w:p>
    <w:p w:rsidR="00357436" w:rsidRDefault="00357436" w:rsidP="00357436">
      <w:pPr>
        <w:suppressAutoHyphens/>
        <w:rPr>
          <w:spacing w:val="-3"/>
        </w:rPr>
      </w:pPr>
    </w:p>
    <w:p w:rsidR="00357436" w:rsidRDefault="00357436" w:rsidP="00357436">
      <w:pPr>
        <w:suppressAutoHyphens/>
        <w:ind w:left="720"/>
        <w:rPr>
          <w:spacing w:val="-3"/>
        </w:rPr>
      </w:pPr>
      <w:r>
        <w:rPr>
          <w:spacing w:val="-3"/>
        </w:rPr>
        <w:t xml:space="preserve">Overall capitalization rate—may be developed by evaluating net income figures and sales prices of comparable properties </w:t>
      </w:r>
    </w:p>
    <w:p w:rsidR="00357436" w:rsidRDefault="00357436" w:rsidP="00357436">
      <w:pPr>
        <w:pStyle w:val="BodyTextIndent3"/>
        <w:spacing w:after="0"/>
        <w:ind w:left="0"/>
        <w:rPr>
          <w:spacing w:val="-3"/>
          <w:sz w:val="24"/>
          <w:szCs w:val="24"/>
        </w:rPr>
      </w:pPr>
    </w:p>
    <w:p w:rsidR="00357436" w:rsidRDefault="00357436" w:rsidP="00357436">
      <w:pPr>
        <w:pStyle w:val="Heading3"/>
        <w:spacing w:before="0"/>
        <w:jc w:val="center"/>
        <w:rPr>
          <w:rFonts w:ascii="Times New Roman" w:hAnsi="Times New Roman" w:cs="Times New Roman"/>
          <w:color w:val="auto"/>
        </w:rPr>
      </w:pPr>
      <w:r>
        <w:rPr>
          <w:rFonts w:ascii="Times New Roman" w:hAnsi="Times New Roman" w:cs="Times New Roman"/>
          <w:color w:val="auto"/>
        </w:rPr>
        <w:t>Exercise 14-1</w:t>
      </w:r>
    </w:p>
    <w:p w:rsidR="00357436" w:rsidRDefault="00357436" w:rsidP="00357436"/>
    <w:p w:rsidR="00357436" w:rsidRDefault="00357436" w:rsidP="00357436">
      <w:pPr>
        <w:ind w:left="1440" w:hanging="720"/>
      </w:pPr>
      <w:r>
        <w:t>A.</w:t>
      </w:r>
      <w:r>
        <w:tab/>
        <w:t>Building a Capitalization Rate—analyzing capitalization rate’s component parts and estimating each of those components for the subject property</w:t>
      </w:r>
    </w:p>
    <w:p w:rsidR="00357436" w:rsidRDefault="00357436" w:rsidP="00357436">
      <w:pPr>
        <w:suppressAutoHyphens/>
        <w:ind w:left="2160" w:hanging="720"/>
        <w:rPr>
          <w:spacing w:val="-3"/>
        </w:rPr>
      </w:pPr>
      <w:r>
        <w:rPr>
          <w:spacing w:val="-3"/>
        </w:rPr>
        <w:t>1.</w:t>
      </w:r>
      <w:r>
        <w:rPr>
          <w:spacing w:val="-3"/>
        </w:rPr>
        <w:tab/>
        <w:t xml:space="preserve">Return of investment—right to get back the purchase price at the end of the term of ownership and is ordinarily expressed as an annual rate; appraisers refer to this as capital recapture </w:t>
      </w:r>
    </w:p>
    <w:p w:rsidR="00357436" w:rsidRDefault="00357436" w:rsidP="00357436">
      <w:pPr>
        <w:suppressAutoHyphens/>
        <w:ind w:left="2160" w:hanging="720"/>
        <w:rPr>
          <w:spacing w:val="-3"/>
        </w:rPr>
      </w:pPr>
      <w:r>
        <w:rPr>
          <w:spacing w:val="-3"/>
        </w:rPr>
        <w:t>2.</w:t>
      </w:r>
      <w:r>
        <w:rPr>
          <w:spacing w:val="-3"/>
        </w:rPr>
        <w:tab/>
        <w:t>Return on investment—investor's profit on money used to purchase property—interest rate (also called risk rate or "return on" rate)</w:t>
      </w:r>
    </w:p>
    <w:p w:rsidR="00357436" w:rsidRDefault="00357436" w:rsidP="00357436">
      <w:pPr>
        <w:suppressAutoHyphens/>
        <w:ind w:firstLine="720"/>
        <w:rPr>
          <w:spacing w:val="-3"/>
        </w:rPr>
      </w:pPr>
      <w:r>
        <w:rPr>
          <w:spacing w:val="-3"/>
        </w:rPr>
        <w:t>B.</w:t>
      </w:r>
      <w:r>
        <w:rPr>
          <w:spacing w:val="-3"/>
        </w:rPr>
        <w:tab/>
        <w:t>Selecting the Rate for Capital Recapture</w:t>
      </w:r>
    </w:p>
    <w:p w:rsidR="00357436" w:rsidRDefault="00357436" w:rsidP="00357436">
      <w:pPr>
        <w:suppressAutoHyphens/>
        <w:ind w:left="2160" w:hanging="720"/>
        <w:rPr>
          <w:spacing w:val="-3"/>
        </w:rPr>
      </w:pPr>
      <w:r>
        <w:rPr>
          <w:spacing w:val="-3"/>
        </w:rPr>
        <w:lastRenderedPageBreak/>
        <w:t>1.</w:t>
      </w:r>
      <w:r>
        <w:rPr>
          <w:spacing w:val="-3"/>
        </w:rPr>
        <w:tab/>
        <w:t>Straight-line method of recapture—total accrued depreciation (100%) divided by the building's years of useful life</w:t>
      </w:r>
    </w:p>
    <w:p w:rsidR="00357436" w:rsidRDefault="00357436" w:rsidP="00357436">
      <w:pPr>
        <w:suppressAutoHyphens/>
        <w:ind w:left="720" w:firstLine="720"/>
        <w:rPr>
          <w:spacing w:val="-3"/>
        </w:rPr>
      </w:pPr>
      <w:r>
        <w:rPr>
          <w:spacing w:val="-3"/>
        </w:rPr>
        <w:t>2.</w:t>
      </w:r>
      <w:r>
        <w:rPr>
          <w:spacing w:val="-3"/>
        </w:rPr>
        <w:tab/>
        <w:t>Requires accurate information regarding building's useful life</w:t>
      </w:r>
    </w:p>
    <w:p w:rsidR="00357436" w:rsidRDefault="00357436" w:rsidP="00357436">
      <w:pPr>
        <w:suppressAutoHyphens/>
        <w:ind w:left="720" w:firstLine="720"/>
        <w:rPr>
          <w:spacing w:val="-3"/>
        </w:rPr>
      </w:pPr>
      <w:r>
        <w:rPr>
          <w:spacing w:val="-3"/>
        </w:rPr>
        <w:t>3.</w:t>
      </w:r>
      <w:r>
        <w:rPr>
          <w:spacing w:val="-3"/>
        </w:rPr>
        <w:tab/>
        <w:t>Recapture period is also referred to as estimated remaining economic life</w:t>
      </w:r>
    </w:p>
    <w:p w:rsidR="00357436" w:rsidRDefault="00357436" w:rsidP="00357436">
      <w:pPr>
        <w:pStyle w:val="BodyTextIndent2"/>
        <w:rPr>
          <w:szCs w:val="24"/>
        </w:rPr>
      </w:pPr>
      <w:r>
        <w:rPr>
          <w:szCs w:val="24"/>
        </w:rPr>
        <w:t>C.</w:t>
      </w:r>
      <w:r>
        <w:rPr>
          <w:szCs w:val="24"/>
        </w:rPr>
        <w:tab/>
        <w:t>Selecting the Interest Rate by the Market Extraction Method—interest rate of a comparable property is found by subtracting net operating income attributable to building recapture from total net operating income, with remainder divided by property's selling price</w:t>
      </w:r>
    </w:p>
    <w:p w:rsidR="00357436" w:rsidRDefault="00357436" w:rsidP="00357436">
      <w:pPr>
        <w:pStyle w:val="Heading3"/>
        <w:spacing w:before="0"/>
        <w:rPr>
          <w:rFonts w:ascii="Times New Roman" w:hAnsi="Times New Roman" w:cs="Times New Roman"/>
          <w:color w:val="auto"/>
        </w:rPr>
      </w:pPr>
    </w:p>
    <w:p w:rsidR="00357436" w:rsidRDefault="00357436" w:rsidP="00357436">
      <w:pPr>
        <w:pStyle w:val="Heading3"/>
        <w:spacing w:before="0"/>
        <w:jc w:val="center"/>
        <w:rPr>
          <w:rFonts w:ascii="Times New Roman" w:hAnsi="Times New Roman" w:cs="Times New Roman"/>
          <w:color w:val="auto"/>
        </w:rPr>
      </w:pPr>
      <w:r>
        <w:rPr>
          <w:rFonts w:ascii="Times New Roman" w:hAnsi="Times New Roman" w:cs="Times New Roman"/>
          <w:color w:val="auto"/>
        </w:rPr>
        <w:t>Exercise 14-2</w:t>
      </w:r>
    </w:p>
    <w:p w:rsidR="00357436" w:rsidRDefault="00357436" w:rsidP="00357436">
      <w:pPr>
        <w:suppressAutoHyphens/>
        <w:rPr>
          <w:spacing w:val="-3"/>
        </w:rPr>
      </w:pPr>
    </w:p>
    <w:p w:rsidR="00357436" w:rsidRDefault="00357436" w:rsidP="00357436">
      <w:pPr>
        <w:suppressAutoHyphens/>
        <w:ind w:left="1440" w:hanging="720"/>
        <w:rPr>
          <w:spacing w:val="-3"/>
        </w:rPr>
      </w:pPr>
      <w:r>
        <w:rPr>
          <w:spacing w:val="-3"/>
        </w:rPr>
        <w:t>D.</w:t>
      </w:r>
      <w:r>
        <w:rPr>
          <w:spacing w:val="-3"/>
        </w:rPr>
        <w:tab/>
        <w:t>Band of Investment Method--Mortgage and Equity Elements—takes into account both the rate required by the lender (mortgage constant) and the rate necessary for the equity investor's desired pretax cash flow (equity capitalization rate)—each portion of the property's ownership or interest is multiplied by the rate of return required for that position</w:t>
      </w:r>
    </w:p>
    <w:p w:rsidR="00357436" w:rsidRDefault="00357436" w:rsidP="00357436">
      <w:pPr>
        <w:suppressAutoHyphens/>
        <w:ind w:firstLine="720"/>
        <w:rPr>
          <w:spacing w:val="-3"/>
        </w:rPr>
      </w:pPr>
      <w:r>
        <w:rPr>
          <w:spacing w:val="-3"/>
        </w:rPr>
        <w:t>E.</w:t>
      </w:r>
      <w:r>
        <w:rPr>
          <w:spacing w:val="-3"/>
        </w:rPr>
        <w:tab/>
        <w:t>Relationship of Capitalization Rate and Risk</w:t>
      </w:r>
    </w:p>
    <w:p w:rsidR="00357436" w:rsidRDefault="00357436" w:rsidP="00357436">
      <w:pPr>
        <w:pStyle w:val="TOC6"/>
        <w:ind w:left="720" w:firstLine="720"/>
        <w:rPr>
          <w:szCs w:val="24"/>
        </w:rPr>
      </w:pPr>
      <w:r>
        <w:rPr>
          <w:szCs w:val="24"/>
        </w:rPr>
        <w:t>1.</w:t>
      </w:r>
      <w:r>
        <w:rPr>
          <w:szCs w:val="24"/>
        </w:rPr>
        <w:tab/>
        <w:t>High risk = high cap rate = low value</w:t>
      </w:r>
    </w:p>
    <w:p w:rsidR="00357436" w:rsidRDefault="00357436" w:rsidP="00357436">
      <w:pPr>
        <w:suppressAutoHyphens/>
        <w:ind w:left="720" w:firstLine="720"/>
        <w:rPr>
          <w:spacing w:val="-3"/>
        </w:rPr>
      </w:pPr>
      <w:r>
        <w:rPr>
          <w:spacing w:val="-3"/>
        </w:rPr>
        <w:t>2.</w:t>
      </w:r>
      <w:r>
        <w:rPr>
          <w:spacing w:val="-3"/>
        </w:rPr>
        <w:tab/>
        <w:t>Low risk = low cap rate = high value</w:t>
      </w:r>
    </w:p>
    <w:p w:rsidR="00357436" w:rsidRDefault="00357436" w:rsidP="00357436">
      <w:pPr>
        <w:pStyle w:val="Heading3"/>
        <w:spacing w:before="0"/>
        <w:rPr>
          <w:rFonts w:ascii="Times New Roman" w:hAnsi="Times New Roman" w:cs="Times New Roman"/>
          <w:color w:val="auto"/>
        </w:rPr>
      </w:pPr>
    </w:p>
    <w:p w:rsidR="00357436" w:rsidRDefault="00357436" w:rsidP="00357436">
      <w:pPr>
        <w:pStyle w:val="Heading3"/>
        <w:spacing w:before="0"/>
        <w:jc w:val="center"/>
        <w:rPr>
          <w:rFonts w:ascii="Times New Roman" w:hAnsi="Times New Roman" w:cs="Times New Roman"/>
          <w:color w:val="auto"/>
          <w:spacing w:val="-3"/>
        </w:rPr>
      </w:pPr>
      <w:r>
        <w:rPr>
          <w:rFonts w:ascii="Times New Roman" w:hAnsi="Times New Roman" w:cs="Times New Roman"/>
          <w:color w:val="auto"/>
        </w:rPr>
        <w:t>Exercise 14-3</w:t>
      </w:r>
    </w:p>
    <w:p w:rsidR="00357436" w:rsidRDefault="00357436" w:rsidP="00357436">
      <w:pPr>
        <w:suppressAutoHyphens/>
        <w:rPr>
          <w:spacing w:val="-3"/>
        </w:rPr>
      </w:pPr>
    </w:p>
    <w:p w:rsidR="00357436" w:rsidRDefault="00357436" w:rsidP="00357436">
      <w:pPr>
        <w:suppressAutoHyphens/>
        <w:rPr>
          <w:spacing w:val="-3"/>
        </w:rPr>
      </w:pPr>
      <w:r>
        <w:rPr>
          <w:spacing w:val="-3"/>
        </w:rPr>
        <w:t>IV.</w:t>
      </w:r>
      <w:r>
        <w:rPr>
          <w:spacing w:val="-3"/>
        </w:rPr>
        <w:tab/>
        <w:t>Capitalization Techniques Using Residual Income</w:t>
      </w:r>
    </w:p>
    <w:p w:rsidR="00357436" w:rsidRDefault="00357436" w:rsidP="00357436">
      <w:pPr>
        <w:suppressAutoHyphens/>
        <w:ind w:firstLine="720"/>
        <w:rPr>
          <w:spacing w:val="-3"/>
        </w:rPr>
      </w:pPr>
      <w:r>
        <w:rPr>
          <w:spacing w:val="-3"/>
        </w:rPr>
        <w:t>A.</w:t>
      </w:r>
      <w:r>
        <w:rPr>
          <w:spacing w:val="-3"/>
        </w:rPr>
        <w:tab/>
        <w:t>Building Residual Technique</w:t>
      </w:r>
    </w:p>
    <w:p w:rsidR="00357436" w:rsidRDefault="00357436" w:rsidP="00357436">
      <w:pPr>
        <w:suppressAutoHyphens/>
        <w:ind w:left="720" w:firstLine="720"/>
        <w:rPr>
          <w:spacing w:val="-3"/>
        </w:rPr>
      </w:pPr>
      <w:r>
        <w:rPr>
          <w:spacing w:val="-3"/>
        </w:rPr>
        <w:t>1.</w:t>
      </w:r>
      <w:r>
        <w:rPr>
          <w:spacing w:val="-3"/>
        </w:rPr>
        <w:tab/>
        <w:t>Land value must be known—usually found by analyzing comparable sales</w:t>
      </w:r>
    </w:p>
    <w:p w:rsidR="00357436" w:rsidRDefault="00357436" w:rsidP="00357436">
      <w:pPr>
        <w:suppressAutoHyphens/>
        <w:ind w:left="2160" w:hanging="720"/>
        <w:rPr>
          <w:spacing w:val="-3"/>
        </w:rPr>
      </w:pPr>
      <w:r>
        <w:rPr>
          <w:spacing w:val="-3"/>
        </w:rPr>
        <w:t>2.</w:t>
      </w:r>
      <w:r>
        <w:rPr>
          <w:spacing w:val="-3"/>
        </w:rPr>
        <w:tab/>
        <w:t>Deduct the amount o</w:t>
      </w:r>
      <w:r w:rsidR="00F22FEF">
        <w:rPr>
          <w:spacing w:val="-3"/>
        </w:rPr>
        <w:t xml:space="preserve">f net operating income that is </w:t>
      </w:r>
      <w:bookmarkStart w:id="0" w:name="_GoBack"/>
      <w:bookmarkEnd w:id="0"/>
      <w:r>
        <w:rPr>
          <w:spacing w:val="-3"/>
        </w:rPr>
        <w:t>earned by the land to determine  its value; the balance of the NOI is  earned by the building</w:t>
      </w:r>
    </w:p>
    <w:p w:rsidR="00357436" w:rsidRDefault="00357436" w:rsidP="00357436">
      <w:pPr>
        <w:suppressAutoHyphens/>
        <w:ind w:left="2160" w:hanging="720"/>
        <w:rPr>
          <w:spacing w:val="-3"/>
        </w:rPr>
      </w:pPr>
      <w:r>
        <w:rPr>
          <w:spacing w:val="-3"/>
        </w:rPr>
        <w:t>3.</w:t>
      </w:r>
      <w:r>
        <w:rPr>
          <w:spacing w:val="-3"/>
        </w:rPr>
        <w:tab/>
        <w:t>Building net operating income is then capitalized at the interest rate plus the rate of recapture to find building value</w:t>
      </w:r>
    </w:p>
    <w:p w:rsidR="00357436" w:rsidRDefault="00357436" w:rsidP="00357436">
      <w:pPr>
        <w:suppressAutoHyphens/>
        <w:ind w:left="2160" w:hanging="720"/>
        <w:rPr>
          <w:spacing w:val="-3"/>
        </w:rPr>
      </w:pPr>
      <w:r>
        <w:rPr>
          <w:spacing w:val="-3"/>
        </w:rPr>
        <w:t>4.</w:t>
      </w:r>
      <w:r>
        <w:rPr>
          <w:spacing w:val="-3"/>
        </w:rPr>
        <w:tab/>
        <w:t>Most useful when land values are stable and can be determined by recent sales of similar sites or when the construction cost of the building and the amount of accrued depreciation are difficult to measure accurately because of the building's age or unusual design</w:t>
      </w:r>
    </w:p>
    <w:p w:rsidR="00357436" w:rsidRDefault="00357436" w:rsidP="00357436">
      <w:pPr>
        <w:pStyle w:val="Heading3"/>
        <w:spacing w:before="0"/>
        <w:rPr>
          <w:rFonts w:ascii="Times New Roman" w:hAnsi="Times New Roman" w:cs="Times New Roman"/>
          <w:color w:val="auto"/>
        </w:rPr>
      </w:pPr>
    </w:p>
    <w:p w:rsidR="00357436" w:rsidRDefault="00357436" w:rsidP="00357436">
      <w:pPr>
        <w:pStyle w:val="Heading3"/>
        <w:spacing w:before="0"/>
        <w:jc w:val="center"/>
        <w:rPr>
          <w:rFonts w:ascii="Times New Roman" w:hAnsi="Times New Roman" w:cs="Times New Roman"/>
          <w:color w:val="auto"/>
          <w:spacing w:val="-3"/>
        </w:rPr>
      </w:pPr>
      <w:r>
        <w:rPr>
          <w:rFonts w:ascii="Times New Roman" w:hAnsi="Times New Roman" w:cs="Times New Roman"/>
          <w:color w:val="auto"/>
        </w:rPr>
        <w:t>Exercise 14-4</w:t>
      </w:r>
    </w:p>
    <w:p w:rsidR="00357436" w:rsidRDefault="00357436" w:rsidP="00357436">
      <w:pPr>
        <w:suppressAutoHyphens/>
        <w:rPr>
          <w:spacing w:val="-3"/>
        </w:rPr>
      </w:pPr>
    </w:p>
    <w:p w:rsidR="00357436" w:rsidRDefault="00357436" w:rsidP="00357436">
      <w:pPr>
        <w:suppressAutoHyphens/>
        <w:ind w:firstLine="720"/>
        <w:rPr>
          <w:spacing w:val="-3"/>
        </w:rPr>
      </w:pPr>
      <w:r>
        <w:rPr>
          <w:spacing w:val="-3"/>
        </w:rPr>
        <w:t>B.</w:t>
      </w:r>
      <w:r>
        <w:rPr>
          <w:spacing w:val="-3"/>
        </w:rPr>
        <w:tab/>
        <w:t>Land Residual Technique</w:t>
      </w:r>
    </w:p>
    <w:p w:rsidR="00357436" w:rsidRDefault="00357436" w:rsidP="00357436">
      <w:pPr>
        <w:suppressAutoHyphens/>
        <w:ind w:left="720" w:firstLine="720"/>
        <w:rPr>
          <w:spacing w:val="-3"/>
        </w:rPr>
      </w:pPr>
      <w:r>
        <w:rPr>
          <w:spacing w:val="-3"/>
        </w:rPr>
        <w:t>1.</w:t>
      </w:r>
      <w:r>
        <w:rPr>
          <w:spacing w:val="-3"/>
        </w:rPr>
        <w:tab/>
        <w:t>Reverses building and land calculations of the building residual technique</w:t>
      </w:r>
    </w:p>
    <w:p w:rsidR="00357436" w:rsidRDefault="00357436" w:rsidP="00357436">
      <w:pPr>
        <w:suppressAutoHyphens/>
        <w:ind w:left="2160" w:hanging="720"/>
        <w:rPr>
          <w:spacing w:val="-3"/>
        </w:rPr>
      </w:pPr>
      <w:r>
        <w:rPr>
          <w:spacing w:val="-3"/>
        </w:rPr>
        <w:t>2.</w:t>
      </w:r>
      <w:r>
        <w:rPr>
          <w:spacing w:val="-3"/>
        </w:rPr>
        <w:tab/>
        <w:t>Useful when the land value cannot be estimated from comparable sales or when the building is new or in its early life and represents the land's highest and best use</w:t>
      </w:r>
    </w:p>
    <w:p w:rsidR="00357436" w:rsidRDefault="00357436" w:rsidP="00357436">
      <w:pPr>
        <w:pStyle w:val="Heading3"/>
        <w:spacing w:before="0"/>
        <w:rPr>
          <w:rFonts w:ascii="Times New Roman" w:hAnsi="Times New Roman" w:cs="Times New Roman"/>
          <w:color w:val="auto"/>
        </w:rPr>
      </w:pPr>
    </w:p>
    <w:p w:rsidR="00357436" w:rsidRDefault="00357436" w:rsidP="00357436">
      <w:pPr>
        <w:pStyle w:val="Heading3"/>
        <w:spacing w:before="0"/>
        <w:jc w:val="center"/>
        <w:rPr>
          <w:rFonts w:ascii="Times New Roman" w:hAnsi="Times New Roman" w:cs="Times New Roman"/>
          <w:color w:val="auto"/>
          <w:spacing w:val="-3"/>
        </w:rPr>
      </w:pPr>
      <w:r>
        <w:rPr>
          <w:rFonts w:ascii="Times New Roman" w:hAnsi="Times New Roman" w:cs="Times New Roman"/>
          <w:color w:val="auto"/>
        </w:rPr>
        <w:t>Exercise 14-5</w:t>
      </w:r>
    </w:p>
    <w:p w:rsidR="00357436" w:rsidRDefault="00357436" w:rsidP="00357436">
      <w:pPr>
        <w:suppressAutoHyphens/>
        <w:rPr>
          <w:spacing w:val="-3"/>
        </w:rPr>
      </w:pPr>
    </w:p>
    <w:p w:rsidR="00357436" w:rsidRDefault="00357436" w:rsidP="00357436">
      <w:pPr>
        <w:suppressAutoHyphens/>
        <w:ind w:firstLine="720"/>
        <w:rPr>
          <w:spacing w:val="-3"/>
        </w:rPr>
      </w:pPr>
      <w:r>
        <w:rPr>
          <w:spacing w:val="-3"/>
        </w:rPr>
        <w:t>C.</w:t>
      </w:r>
      <w:r>
        <w:rPr>
          <w:spacing w:val="-3"/>
        </w:rPr>
        <w:tab/>
        <w:t>Valuing the Land and Building as a Whole</w:t>
      </w:r>
    </w:p>
    <w:p w:rsidR="00357436" w:rsidRDefault="00357436" w:rsidP="00357436">
      <w:pPr>
        <w:suppressAutoHyphens/>
        <w:ind w:left="720" w:firstLine="720"/>
        <w:rPr>
          <w:spacing w:val="-3"/>
        </w:rPr>
      </w:pPr>
      <w:r>
        <w:rPr>
          <w:spacing w:val="-3"/>
        </w:rPr>
        <w:t>1.</w:t>
      </w:r>
      <w:r>
        <w:rPr>
          <w:spacing w:val="-3"/>
        </w:rPr>
        <w:tab/>
        <w:t>Land and building are valued together</w:t>
      </w:r>
    </w:p>
    <w:p w:rsidR="00357436" w:rsidRDefault="00357436" w:rsidP="00357436">
      <w:pPr>
        <w:pStyle w:val="BodyTextIndent3"/>
        <w:spacing w:after="0"/>
        <w:ind w:left="2160" w:hanging="720"/>
        <w:rPr>
          <w:spacing w:val="-3"/>
          <w:sz w:val="24"/>
          <w:szCs w:val="24"/>
        </w:rPr>
      </w:pPr>
      <w:r>
        <w:rPr>
          <w:sz w:val="24"/>
          <w:szCs w:val="24"/>
        </w:rPr>
        <w:lastRenderedPageBreak/>
        <w:t>2.</w:t>
      </w:r>
      <w:r>
        <w:rPr>
          <w:sz w:val="24"/>
          <w:szCs w:val="24"/>
        </w:rPr>
        <w:tab/>
        <w:t>Net operating income is developed for each comparable property analyzed and a range of overall capitalization rates are computed—from this range a rate appropriate to the subject property is selected</w:t>
      </w:r>
    </w:p>
    <w:p w:rsidR="00357436" w:rsidRDefault="00357436" w:rsidP="00357436">
      <w:pPr>
        <w:pStyle w:val="BodyTextIndent3"/>
        <w:spacing w:after="0"/>
        <w:ind w:left="2160" w:hanging="720"/>
        <w:rPr>
          <w:sz w:val="24"/>
          <w:szCs w:val="24"/>
        </w:rPr>
      </w:pPr>
      <w:r>
        <w:rPr>
          <w:sz w:val="24"/>
          <w:szCs w:val="24"/>
        </w:rPr>
        <w:t>3.</w:t>
      </w:r>
      <w:r>
        <w:rPr>
          <w:sz w:val="24"/>
          <w:szCs w:val="24"/>
        </w:rPr>
        <w:tab/>
        <w:t>Useful when the building is very old or when it is difficult to make reliable estimates of either land or building value</w:t>
      </w:r>
    </w:p>
    <w:p w:rsidR="00357436" w:rsidRDefault="00357436" w:rsidP="00357436">
      <w:pPr>
        <w:pStyle w:val="Heading3"/>
        <w:spacing w:before="0"/>
        <w:rPr>
          <w:rFonts w:ascii="Times New Roman" w:hAnsi="Times New Roman" w:cs="Times New Roman"/>
          <w:color w:val="auto"/>
        </w:rPr>
      </w:pPr>
    </w:p>
    <w:p w:rsidR="00357436" w:rsidRDefault="00357436" w:rsidP="00357436">
      <w:pPr>
        <w:pStyle w:val="Heading3"/>
        <w:spacing w:before="0"/>
        <w:jc w:val="center"/>
        <w:rPr>
          <w:rFonts w:ascii="Times New Roman" w:hAnsi="Times New Roman" w:cs="Times New Roman"/>
          <w:color w:val="auto"/>
        </w:rPr>
      </w:pPr>
      <w:r>
        <w:rPr>
          <w:rFonts w:ascii="Times New Roman" w:hAnsi="Times New Roman" w:cs="Times New Roman"/>
          <w:color w:val="auto"/>
        </w:rPr>
        <w:t>Exercise 14-6</w:t>
      </w:r>
    </w:p>
    <w:p w:rsidR="00357436" w:rsidRDefault="00357436" w:rsidP="00357436">
      <w:pPr>
        <w:suppressAutoHyphens/>
        <w:rPr>
          <w:spacing w:val="-3"/>
        </w:rPr>
      </w:pPr>
    </w:p>
    <w:p w:rsidR="00357436" w:rsidRDefault="00357436" w:rsidP="00357436">
      <w:pPr>
        <w:suppressAutoHyphens/>
        <w:ind w:left="720" w:hanging="720"/>
        <w:rPr>
          <w:spacing w:val="-3"/>
        </w:rPr>
      </w:pPr>
      <w:r>
        <w:rPr>
          <w:spacing w:val="-3"/>
        </w:rPr>
        <w:t>V.</w:t>
      </w:r>
      <w:r>
        <w:rPr>
          <w:spacing w:val="-3"/>
        </w:rPr>
        <w:tab/>
        <w:t>Yield Capitalization—investment property value is considered the present worth of the right to receive a fixed return of both the amount invested and the interest on that amount</w:t>
      </w:r>
    </w:p>
    <w:p w:rsidR="00357436" w:rsidRDefault="00357436" w:rsidP="00357436">
      <w:pPr>
        <w:suppressAutoHyphens/>
        <w:rPr>
          <w:spacing w:val="-3"/>
        </w:rPr>
      </w:pPr>
    </w:p>
    <w:p w:rsidR="00357436" w:rsidRDefault="00357436" w:rsidP="00357436">
      <w:pPr>
        <w:suppressAutoHyphens/>
        <w:rPr>
          <w:spacing w:val="-3"/>
        </w:rPr>
      </w:pPr>
      <w:r>
        <w:rPr>
          <w:spacing w:val="-3"/>
        </w:rPr>
        <w:t>VI.</w:t>
      </w:r>
      <w:r>
        <w:rPr>
          <w:spacing w:val="-3"/>
        </w:rPr>
        <w:tab/>
        <w:t>Value of One Dollar—Figure 14.1 shows the six functions of a dollar</w:t>
      </w:r>
    </w:p>
    <w:p w:rsidR="00357436" w:rsidRDefault="00357436" w:rsidP="00357436">
      <w:pPr>
        <w:suppressAutoHyphens/>
        <w:ind w:firstLine="720"/>
        <w:rPr>
          <w:spacing w:val="-3"/>
        </w:rPr>
      </w:pPr>
      <w:r>
        <w:rPr>
          <w:spacing w:val="-3"/>
        </w:rPr>
        <w:t>A.</w:t>
      </w:r>
      <w:r>
        <w:rPr>
          <w:spacing w:val="-3"/>
        </w:rPr>
        <w:tab/>
        <w:t>Future value of $1</w:t>
      </w:r>
    </w:p>
    <w:p w:rsidR="00357436" w:rsidRDefault="00357436" w:rsidP="00357436">
      <w:pPr>
        <w:suppressAutoHyphens/>
        <w:ind w:firstLine="720"/>
        <w:rPr>
          <w:spacing w:val="-3"/>
        </w:rPr>
      </w:pPr>
      <w:r>
        <w:rPr>
          <w:spacing w:val="-3"/>
        </w:rPr>
        <w:t>B.</w:t>
      </w:r>
      <w:r>
        <w:rPr>
          <w:spacing w:val="-3"/>
        </w:rPr>
        <w:tab/>
        <w:t>Future value of an annuity of $1 per year</w:t>
      </w:r>
    </w:p>
    <w:p w:rsidR="00357436" w:rsidRDefault="00357436" w:rsidP="00357436">
      <w:pPr>
        <w:suppressAutoHyphens/>
        <w:ind w:firstLine="720"/>
        <w:rPr>
          <w:spacing w:val="-3"/>
        </w:rPr>
      </w:pPr>
      <w:r>
        <w:rPr>
          <w:spacing w:val="-3"/>
        </w:rPr>
        <w:t>C.</w:t>
      </w:r>
      <w:r>
        <w:rPr>
          <w:spacing w:val="-3"/>
        </w:rPr>
        <w:tab/>
        <w:t>Sinking fund factor</w:t>
      </w:r>
    </w:p>
    <w:p w:rsidR="00357436" w:rsidRDefault="00357436" w:rsidP="00357436">
      <w:pPr>
        <w:suppressAutoHyphens/>
        <w:ind w:firstLine="720"/>
        <w:rPr>
          <w:spacing w:val="-3"/>
        </w:rPr>
      </w:pPr>
      <w:r>
        <w:rPr>
          <w:spacing w:val="-3"/>
        </w:rPr>
        <w:t>D.</w:t>
      </w:r>
      <w:r>
        <w:rPr>
          <w:spacing w:val="-3"/>
        </w:rPr>
        <w:tab/>
        <w:t>Present value of a $1 reversion</w:t>
      </w:r>
    </w:p>
    <w:p w:rsidR="00357436" w:rsidRDefault="00357436" w:rsidP="00357436">
      <w:pPr>
        <w:suppressAutoHyphens/>
        <w:ind w:firstLine="720"/>
        <w:rPr>
          <w:spacing w:val="-3"/>
        </w:rPr>
      </w:pPr>
      <w:r>
        <w:rPr>
          <w:spacing w:val="-3"/>
        </w:rPr>
        <w:t>E.</w:t>
      </w:r>
      <w:r>
        <w:rPr>
          <w:spacing w:val="-3"/>
        </w:rPr>
        <w:tab/>
        <w:t>Present value of annuity of $1 per year</w:t>
      </w:r>
    </w:p>
    <w:p w:rsidR="00357436" w:rsidRDefault="00357436" w:rsidP="00357436">
      <w:pPr>
        <w:suppressAutoHyphens/>
        <w:ind w:firstLine="720"/>
        <w:rPr>
          <w:spacing w:val="-3"/>
        </w:rPr>
      </w:pPr>
      <w:r>
        <w:rPr>
          <w:spacing w:val="-3"/>
        </w:rPr>
        <w:t>F.</w:t>
      </w:r>
      <w:r>
        <w:rPr>
          <w:spacing w:val="-3"/>
        </w:rPr>
        <w:tab/>
        <w:t>Payment to amortize $1</w:t>
      </w:r>
    </w:p>
    <w:p w:rsidR="00357436" w:rsidRDefault="00357436" w:rsidP="00357436">
      <w:pPr>
        <w:suppressAutoHyphens/>
        <w:rPr>
          <w:spacing w:val="-3"/>
        </w:rPr>
      </w:pPr>
    </w:p>
    <w:p w:rsidR="00357436" w:rsidRDefault="00357436" w:rsidP="00357436">
      <w:pPr>
        <w:pStyle w:val="TOC6"/>
        <w:ind w:left="0" w:firstLine="0"/>
        <w:rPr>
          <w:szCs w:val="24"/>
        </w:rPr>
      </w:pPr>
      <w:r>
        <w:rPr>
          <w:szCs w:val="24"/>
        </w:rPr>
        <w:t>VII.</w:t>
      </w:r>
      <w:r>
        <w:rPr>
          <w:szCs w:val="24"/>
        </w:rPr>
        <w:tab/>
        <w:t>Annuity Method of Capitalization</w:t>
      </w:r>
    </w:p>
    <w:p w:rsidR="00357436" w:rsidRDefault="00357436" w:rsidP="00357436">
      <w:pPr>
        <w:suppressAutoHyphens/>
        <w:ind w:firstLine="720"/>
        <w:rPr>
          <w:spacing w:val="-3"/>
        </w:rPr>
      </w:pPr>
      <w:r>
        <w:rPr>
          <w:spacing w:val="-3"/>
        </w:rPr>
        <w:t>A.</w:t>
      </w:r>
      <w:r>
        <w:rPr>
          <w:spacing w:val="-3"/>
        </w:rPr>
        <w:tab/>
        <w:t>Annuity—fixed yearly return on investment</w:t>
      </w:r>
    </w:p>
    <w:p w:rsidR="00357436" w:rsidRDefault="00357436" w:rsidP="00357436">
      <w:pPr>
        <w:suppressAutoHyphens/>
        <w:ind w:left="1440" w:hanging="720"/>
        <w:rPr>
          <w:spacing w:val="-3"/>
        </w:rPr>
      </w:pPr>
      <w:r>
        <w:rPr>
          <w:spacing w:val="-3"/>
        </w:rPr>
        <w:t>B.</w:t>
      </w:r>
      <w:r>
        <w:rPr>
          <w:spacing w:val="-3"/>
        </w:rPr>
        <w:tab/>
        <w:t>Annuity factors table—provides factor (based on interest rate and period of          investment) to be multiplied by desired level of yearly income to find present worth of the investment</w:t>
      </w:r>
    </w:p>
    <w:p w:rsidR="00357436" w:rsidRDefault="00357436" w:rsidP="00357436">
      <w:pPr>
        <w:suppressAutoHyphens/>
        <w:ind w:left="720" w:firstLine="720"/>
        <w:rPr>
          <w:spacing w:val="-3"/>
        </w:rPr>
      </w:pPr>
      <w:r>
        <w:rPr>
          <w:spacing w:val="-3"/>
        </w:rPr>
        <w:t>1.</w:t>
      </w:r>
      <w:r>
        <w:rPr>
          <w:spacing w:val="-3"/>
        </w:rPr>
        <w:tab/>
        <w:t>Investment should be stable</w:t>
      </w:r>
    </w:p>
    <w:p w:rsidR="00357436" w:rsidRDefault="00357436" w:rsidP="00357436">
      <w:pPr>
        <w:suppressAutoHyphens/>
        <w:ind w:left="1440" w:firstLine="720"/>
        <w:rPr>
          <w:spacing w:val="-3"/>
        </w:rPr>
      </w:pPr>
      <w:r>
        <w:rPr>
          <w:spacing w:val="-3"/>
        </w:rPr>
        <w:t>a.</w:t>
      </w:r>
      <w:r>
        <w:rPr>
          <w:spacing w:val="-3"/>
        </w:rPr>
        <w:tab/>
        <w:t>Financially sound tenant</w:t>
      </w:r>
    </w:p>
    <w:p w:rsidR="00357436" w:rsidRDefault="00357436" w:rsidP="00357436">
      <w:pPr>
        <w:suppressAutoHyphens/>
        <w:ind w:left="1440" w:firstLine="720"/>
        <w:rPr>
          <w:spacing w:val="-3"/>
        </w:rPr>
      </w:pPr>
      <w:r>
        <w:rPr>
          <w:spacing w:val="-3"/>
        </w:rPr>
        <w:t>b.</w:t>
      </w:r>
      <w:r>
        <w:rPr>
          <w:spacing w:val="-3"/>
        </w:rPr>
        <w:tab/>
        <w:t xml:space="preserve">Long-term lease </w:t>
      </w:r>
    </w:p>
    <w:p w:rsidR="00357436" w:rsidRDefault="00357436" w:rsidP="00357436">
      <w:pPr>
        <w:suppressAutoHyphens/>
        <w:ind w:left="1440" w:hanging="720"/>
        <w:rPr>
          <w:spacing w:val="-3"/>
        </w:rPr>
      </w:pPr>
      <w:r>
        <w:rPr>
          <w:spacing w:val="-3"/>
        </w:rPr>
        <w:t>C.</w:t>
      </w:r>
      <w:r>
        <w:rPr>
          <w:spacing w:val="-3"/>
        </w:rPr>
        <w:tab/>
        <w:t xml:space="preserve">Financial calculator—keystrokes required to solve elementary financial problems using the HP 12 C financial calculator are shown   </w:t>
      </w:r>
    </w:p>
    <w:p w:rsidR="00357436" w:rsidRDefault="00357436" w:rsidP="00357436">
      <w:pPr>
        <w:suppressAutoHyphens/>
        <w:ind w:firstLine="720"/>
        <w:rPr>
          <w:spacing w:val="-3"/>
        </w:rPr>
      </w:pPr>
      <w:r>
        <w:rPr>
          <w:spacing w:val="-3"/>
        </w:rPr>
        <w:t>D.</w:t>
      </w:r>
      <w:r>
        <w:rPr>
          <w:spacing w:val="-3"/>
        </w:rPr>
        <w:tab/>
        <w:t>Building Residual Technique</w:t>
      </w:r>
    </w:p>
    <w:p w:rsidR="00357436" w:rsidRDefault="00357436" w:rsidP="00357436">
      <w:pPr>
        <w:suppressAutoHyphens/>
        <w:ind w:left="720" w:firstLine="720"/>
        <w:rPr>
          <w:spacing w:val="-3"/>
        </w:rPr>
      </w:pPr>
      <w:r>
        <w:rPr>
          <w:spacing w:val="-3"/>
        </w:rPr>
        <w:t>1.</w:t>
      </w:r>
      <w:r>
        <w:rPr>
          <w:spacing w:val="-3"/>
        </w:rPr>
        <w:tab/>
        <w:t>Land value estimated separately</w:t>
      </w:r>
    </w:p>
    <w:p w:rsidR="00357436" w:rsidRDefault="00357436" w:rsidP="00357436">
      <w:pPr>
        <w:suppressAutoHyphens/>
        <w:ind w:left="2160" w:hanging="720"/>
        <w:rPr>
          <w:spacing w:val="-3"/>
        </w:rPr>
      </w:pPr>
      <w:r>
        <w:rPr>
          <w:spacing w:val="-3"/>
        </w:rPr>
        <w:t>2.</w:t>
      </w:r>
      <w:r>
        <w:rPr>
          <w:spacing w:val="-3"/>
        </w:rPr>
        <w:tab/>
        <w:t>Interest on estimated land value deducted from annual net operating income to find annual net income residual to building</w:t>
      </w:r>
    </w:p>
    <w:p w:rsidR="00357436" w:rsidRDefault="00357436" w:rsidP="00357436">
      <w:pPr>
        <w:suppressAutoHyphens/>
        <w:ind w:left="2160" w:hanging="720"/>
        <w:rPr>
          <w:spacing w:val="-3"/>
        </w:rPr>
      </w:pPr>
      <w:r>
        <w:rPr>
          <w:spacing w:val="-3"/>
        </w:rPr>
        <w:t>3.</w:t>
      </w:r>
      <w:r>
        <w:rPr>
          <w:spacing w:val="-3"/>
        </w:rPr>
        <w:tab/>
        <w:t>Annuity factor based on desired interest and desired term is applied to building's annual net income residual to find building value</w:t>
      </w:r>
    </w:p>
    <w:p w:rsidR="00357436" w:rsidRDefault="00357436" w:rsidP="00357436">
      <w:pPr>
        <w:suppressAutoHyphens/>
        <w:ind w:left="2160" w:hanging="720"/>
        <w:rPr>
          <w:spacing w:val="-3"/>
        </w:rPr>
      </w:pPr>
      <w:r>
        <w:rPr>
          <w:spacing w:val="-3"/>
        </w:rPr>
        <w:t>4.</w:t>
      </w:r>
      <w:r>
        <w:rPr>
          <w:spacing w:val="-3"/>
        </w:rPr>
        <w:tab/>
        <w:t>Building value and land value are added to find total estimated property value</w:t>
      </w:r>
    </w:p>
    <w:p w:rsidR="00357436" w:rsidRDefault="00357436" w:rsidP="00357436">
      <w:pPr>
        <w:pStyle w:val="Heading3"/>
        <w:spacing w:before="0"/>
        <w:rPr>
          <w:rFonts w:ascii="Times New Roman" w:hAnsi="Times New Roman" w:cs="Times New Roman"/>
          <w:color w:val="auto"/>
        </w:rPr>
      </w:pPr>
    </w:p>
    <w:p w:rsidR="00357436" w:rsidRDefault="00357436" w:rsidP="00357436">
      <w:pPr>
        <w:pStyle w:val="Heading3"/>
        <w:spacing w:before="0"/>
        <w:jc w:val="center"/>
        <w:rPr>
          <w:rFonts w:ascii="Times New Roman" w:hAnsi="Times New Roman" w:cs="Times New Roman"/>
          <w:color w:val="auto"/>
          <w:spacing w:val="-3"/>
        </w:rPr>
      </w:pPr>
      <w:r>
        <w:rPr>
          <w:rFonts w:ascii="Times New Roman" w:hAnsi="Times New Roman" w:cs="Times New Roman"/>
          <w:color w:val="auto"/>
        </w:rPr>
        <w:t>Exercise 14-7</w:t>
      </w:r>
    </w:p>
    <w:p w:rsidR="00357436" w:rsidRDefault="00357436" w:rsidP="00357436"/>
    <w:p w:rsidR="00357436" w:rsidRDefault="00357436" w:rsidP="00357436">
      <w:pPr>
        <w:ind w:left="1440" w:hanging="720"/>
      </w:pPr>
      <w:r>
        <w:t>E.</w:t>
      </w:r>
      <w:r>
        <w:tab/>
        <w:t>Land Residual Technique—follows the same procedure as the building residual technique—but with the building and land calculations reversed</w:t>
      </w:r>
    </w:p>
    <w:p w:rsidR="00357436" w:rsidRDefault="00357436" w:rsidP="00357436">
      <w:pPr>
        <w:jc w:val="center"/>
        <w:rPr>
          <w:b/>
        </w:rPr>
      </w:pPr>
    </w:p>
    <w:p w:rsidR="00357436" w:rsidRDefault="00357436" w:rsidP="00357436">
      <w:pPr>
        <w:jc w:val="center"/>
        <w:rPr>
          <w:b/>
        </w:rPr>
      </w:pPr>
      <w:r>
        <w:rPr>
          <w:b/>
        </w:rPr>
        <w:t>Exercise 14-8</w:t>
      </w:r>
    </w:p>
    <w:p w:rsidR="00357436" w:rsidRDefault="00357436" w:rsidP="00357436">
      <w:pPr>
        <w:rPr>
          <w:b/>
        </w:rPr>
      </w:pPr>
    </w:p>
    <w:p w:rsidR="00357436" w:rsidRDefault="00357436" w:rsidP="00357436">
      <w:pPr>
        <w:ind w:firstLine="720"/>
        <w:jc w:val="both"/>
        <w:rPr>
          <w:spacing w:val="-3"/>
        </w:rPr>
      </w:pPr>
      <w:r>
        <w:rPr>
          <w:spacing w:val="-3"/>
        </w:rPr>
        <w:t>F.</w:t>
      </w:r>
      <w:r>
        <w:rPr>
          <w:spacing w:val="-3"/>
        </w:rPr>
        <w:tab/>
        <w:t>Valuing the Property as a Whole</w:t>
      </w:r>
    </w:p>
    <w:p w:rsidR="00357436" w:rsidRDefault="00357436" w:rsidP="00357436">
      <w:pPr>
        <w:suppressAutoHyphens/>
        <w:ind w:left="720" w:firstLine="720"/>
        <w:rPr>
          <w:spacing w:val="-3"/>
        </w:rPr>
      </w:pPr>
      <w:r>
        <w:rPr>
          <w:spacing w:val="-3"/>
        </w:rPr>
        <w:lastRenderedPageBreak/>
        <w:t>1.</w:t>
      </w:r>
      <w:r>
        <w:rPr>
          <w:spacing w:val="-3"/>
        </w:rPr>
        <w:tab/>
        <w:t>Annuity factor applied to total income stream</w:t>
      </w:r>
    </w:p>
    <w:p w:rsidR="00357436" w:rsidRDefault="00357436" w:rsidP="00357436">
      <w:pPr>
        <w:suppressAutoHyphens/>
        <w:ind w:left="2160" w:hanging="720"/>
        <w:rPr>
          <w:spacing w:val="-3"/>
        </w:rPr>
      </w:pPr>
      <w:r>
        <w:rPr>
          <w:spacing w:val="-3"/>
        </w:rPr>
        <w:t>2.</w:t>
      </w:r>
      <w:r>
        <w:rPr>
          <w:spacing w:val="-3"/>
        </w:rPr>
        <w:tab/>
        <w:t>Value of reversion is found by applying a factor from a reversion table to present estimated land value</w:t>
      </w:r>
    </w:p>
    <w:p w:rsidR="00357436" w:rsidRDefault="00357436" w:rsidP="00357436">
      <w:pPr>
        <w:suppressAutoHyphens/>
        <w:ind w:left="2160" w:hanging="720"/>
        <w:rPr>
          <w:spacing w:val="-3"/>
        </w:rPr>
      </w:pPr>
      <w:r>
        <w:rPr>
          <w:spacing w:val="-3"/>
        </w:rPr>
        <w:t>3.</w:t>
      </w:r>
      <w:r>
        <w:rPr>
          <w:spacing w:val="-3"/>
        </w:rPr>
        <w:tab/>
        <w:t>Present worth of reversion is added to present worth of net income stream to find property value</w:t>
      </w:r>
    </w:p>
    <w:p w:rsidR="00357436" w:rsidRDefault="00357436" w:rsidP="00357436">
      <w:pPr>
        <w:pStyle w:val="Heading3"/>
        <w:spacing w:before="0"/>
        <w:rPr>
          <w:rFonts w:ascii="Times New Roman" w:hAnsi="Times New Roman" w:cs="Times New Roman"/>
          <w:color w:val="auto"/>
        </w:rPr>
      </w:pPr>
    </w:p>
    <w:p w:rsidR="00357436" w:rsidRDefault="00357436" w:rsidP="00357436">
      <w:pPr>
        <w:pStyle w:val="Heading3"/>
        <w:spacing w:before="0"/>
        <w:jc w:val="center"/>
        <w:rPr>
          <w:rFonts w:ascii="Times New Roman" w:hAnsi="Times New Roman" w:cs="Times New Roman"/>
          <w:color w:val="auto"/>
          <w:spacing w:val="-3"/>
        </w:rPr>
      </w:pPr>
      <w:r>
        <w:rPr>
          <w:rFonts w:ascii="Times New Roman" w:hAnsi="Times New Roman" w:cs="Times New Roman"/>
          <w:color w:val="auto"/>
        </w:rPr>
        <w:t>Exercise 14-9</w:t>
      </w:r>
    </w:p>
    <w:p w:rsidR="00357436" w:rsidRDefault="00357436" w:rsidP="00357436">
      <w:pPr>
        <w:suppressAutoHyphens/>
        <w:rPr>
          <w:spacing w:val="-3"/>
        </w:rPr>
      </w:pPr>
    </w:p>
    <w:p w:rsidR="00357436" w:rsidRDefault="00357436" w:rsidP="00357436">
      <w:pPr>
        <w:suppressAutoHyphens/>
        <w:ind w:left="720" w:hanging="720"/>
        <w:rPr>
          <w:spacing w:val="-3"/>
        </w:rPr>
      </w:pPr>
      <w:r>
        <w:rPr>
          <w:spacing w:val="-3"/>
        </w:rPr>
        <w:t>VIII.</w:t>
      </w:r>
      <w:r>
        <w:rPr>
          <w:spacing w:val="-3"/>
        </w:rPr>
        <w:tab/>
        <w:t>Recapture rate—result of different assumptions depending on method of recapture</w:t>
      </w:r>
    </w:p>
    <w:p w:rsidR="00357436" w:rsidRDefault="00357436" w:rsidP="00357436">
      <w:pPr>
        <w:suppressAutoHyphens/>
        <w:ind w:firstLine="720"/>
        <w:rPr>
          <w:spacing w:val="-3"/>
        </w:rPr>
      </w:pPr>
      <w:r>
        <w:rPr>
          <w:spacing w:val="-3"/>
        </w:rPr>
        <w:t>A.</w:t>
      </w:r>
      <w:r>
        <w:rPr>
          <w:spacing w:val="-3"/>
        </w:rPr>
        <w:tab/>
        <w:t>Annuity method</w:t>
      </w:r>
    </w:p>
    <w:p w:rsidR="00357436" w:rsidRDefault="00357436" w:rsidP="00357436">
      <w:pPr>
        <w:suppressAutoHyphens/>
        <w:ind w:left="2160" w:hanging="720"/>
        <w:rPr>
          <w:spacing w:val="-3"/>
        </w:rPr>
      </w:pPr>
      <w:r>
        <w:rPr>
          <w:spacing w:val="-3"/>
        </w:rPr>
        <w:t>1.</w:t>
      </w:r>
      <w:r>
        <w:rPr>
          <w:spacing w:val="-3"/>
        </w:rPr>
        <w:tab/>
        <w:t>Income stream assumed to be constant for each year of building's economic life</w:t>
      </w:r>
    </w:p>
    <w:p w:rsidR="00357436" w:rsidRDefault="00357436" w:rsidP="00357436">
      <w:pPr>
        <w:suppressAutoHyphens/>
        <w:ind w:left="720" w:firstLine="720"/>
        <w:rPr>
          <w:spacing w:val="-3"/>
        </w:rPr>
      </w:pPr>
      <w:r>
        <w:rPr>
          <w:spacing w:val="-3"/>
        </w:rPr>
        <w:t>2.</w:t>
      </w:r>
      <w:r>
        <w:rPr>
          <w:spacing w:val="-3"/>
        </w:rPr>
        <w:tab/>
        <w:t>Interest accrues each year on decreasing principal</w:t>
      </w:r>
    </w:p>
    <w:p w:rsidR="00357436" w:rsidRDefault="00357436" w:rsidP="00357436">
      <w:pPr>
        <w:suppressAutoHyphens/>
        <w:ind w:left="720" w:firstLine="720"/>
        <w:rPr>
          <w:spacing w:val="-3"/>
        </w:rPr>
      </w:pPr>
      <w:r>
        <w:rPr>
          <w:spacing w:val="-3"/>
        </w:rPr>
        <w:t>3.</w:t>
      </w:r>
      <w:r>
        <w:rPr>
          <w:spacing w:val="-3"/>
        </w:rPr>
        <w:tab/>
        <w:t>Recapture accounts for increasing share of income each year</w:t>
      </w:r>
    </w:p>
    <w:p w:rsidR="00357436" w:rsidRDefault="00357436" w:rsidP="00357436">
      <w:pPr>
        <w:suppressAutoHyphens/>
        <w:ind w:firstLine="720"/>
        <w:rPr>
          <w:spacing w:val="-3"/>
        </w:rPr>
      </w:pPr>
      <w:r>
        <w:rPr>
          <w:spacing w:val="-3"/>
        </w:rPr>
        <w:t>B.</w:t>
      </w:r>
      <w:r>
        <w:rPr>
          <w:spacing w:val="-3"/>
        </w:rPr>
        <w:tab/>
        <w:t>Straight-line method</w:t>
      </w:r>
    </w:p>
    <w:p w:rsidR="00357436" w:rsidRDefault="00357436" w:rsidP="00357436">
      <w:pPr>
        <w:suppressAutoHyphens/>
        <w:ind w:left="720" w:firstLine="720"/>
        <w:rPr>
          <w:spacing w:val="-3"/>
        </w:rPr>
      </w:pPr>
      <w:r>
        <w:rPr>
          <w:spacing w:val="-3"/>
        </w:rPr>
        <w:t>1.</w:t>
      </w:r>
      <w:r>
        <w:rPr>
          <w:spacing w:val="-3"/>
        </w:rPr>
        <w:tab/>
        <w:t>Income is assumed to decrease each year by the same amount</w:t>
      </w:r>
    </w:p>
    <w:p w:rsidR="00357436" w:rsidRDefault="00357436" w:rsidP="00357436">
      <w:pPr>
        <w:suppressAutoHyphens/>
        <w:ind w:left="720" w:firstLine="720"/>
        <w:rPr>
          <w:spacing w:val="-3"/>
        </w:rPr>
      </w:pPr>
      <w:r>
        <w:rPr>
          <w:spacing w:val="-3"/>
        </w:rPr>
        <w:t>2.</w:t>
      </w:r>
      <w:r>
        <w:rPr>
          <w:spacing w:val="-3"/>
        </w:rPr>
        <w:tab/>
        <w:t>Interest accrues each year on decreasing property value</w:t>
      </w:r>
    </w:p>
    <w:p w:rsidR="00357436" w:rsidRDefault="00357436" w:rsidP="00357436">
      <w:pPr>
        <w:suppressAutoHyphens/>
        <w:ind w:left="720" w:firstLine="720"/>
        <w:rPr>
          <w:spacing w:val="-3"/>
        </w:rPr>
      </w:pPr>
      <w:r>
        <w:rPr>
          <w:spacing w:val="-3"/>
        </w:rPr>
        <w:t>3.</w:t>
      </w:r>
      <w:r>
        <w:rPr>
          <w:spacing w:val="-3"/>
        </w:rPr>
        <w:tab/>
        <w:t>Recapture remains constant for each year</w:t>
      </w:r>
    </w:p>
    <w:p w:rsidR="00357436" w:rsidRDefault="00357436" w:rsidP="00357436">
      <w:pPr>
        <w:pStyle w:val="Heading3"/>
        <w:spacing w:before="0"/>
        <w:rPr>
          <w:rFonts w:ascii="Times New Roman" w:hAnsi="Times New Roman" w:cs="Times New Roman"/>
          <w:color w:val="auto"/>
        </w:rPr>
      </w:pPr>
    </w:p>
    <w:p w:rsidR="00357436" w:rsidRDefault="00357436" w:rsidP="00357436">
      <w:pPr>
        <w:pStyle w:val="Heading3"/>
        <w:spacing w:before="0"/>
        <w:jc w:val="center"/>
        <w:rPr>
          <w:rFonts w:ascii="Times New Roman" w:hAnsi="Times New Roman" w:cs="Times New Roman"/>
          <w:color w:val="auto"/>
          <w:spacing w:val="-3"/>
        </w:rPr>
      </w:pPr>
      <w:r>
        <w:rPr>
          <w:rFonts w:ascii="Times New Roman" w:hAnsi="Times New Roman" w:cs="Times New Roman"/>
          <w:color w:val="auto"/>
        </w:rPr>
        <w:t>Exercise 14-10</w:t>
      </w:r>
    </w:p>
    <w:p w:rsidR="00357436" w:rsidRDefault="00357436" w:rsidP="00357436">
      <w:pPr>
        <w:suppressAutoHyphens/>
        <w:rPr>
          <w:spacing w:val="-3"/>
        </w:rPr>
      </w:pPr>
    </w:p>
    <w:p w:rsidR="00357436" w:rsidRDefault="00357436" w:rsidP="00357436">
      <w:pPr>
        <w:suppressAutoHyphens/>
        <w:rPr>
          <w:spacing w:val="-3"/>
        </w:rPr>
      </w:pPr>
    </w:p>
    <w:p w:rsidR="00357436" w:rsidRDefault="00357436" w:rsidP="00357436">
      <w:pPr>
        <w:suppressAutoHyphens/>
        <w:rPr>
          <w:spacing w:val="-3"/>
        </w:rPr>
      </w:pPr>
    </w:p>
    <w:p w:rsidR="00357436" w:rsidRDefault="00357436" w:rsidP="00357436">
      <w:pPr>
        <w:pStyle w:val="Heading3"/>
        <w:spacing w:before="0"/>
        <w:rPr>
          <w:rFonts w:ascii="Times New Roman" w:hAnsi="Times New Roman" w:cs="Times New Roman"/>
          <w:b w:val="0"/>
          <w:color w:val="auto"/>
          <w:spacing w:val="-3"/>
        </w:rPr>
      </w:pPr>
      <w:r>
        <w:rPr>
          <w:rFonts w:ascii="Times New Roman" w:hAnsi="Times New Roman" w:cs="Times New Roman"/>
          <w:b w:val="0"/>
          <w:color w:val="auto"/>
        </w:rPr>
        <w:t>Summary</w:t>
      </w:r>
    </w:p>
    <w:p w:rsidR="00357436" w:rsidRDefault="00357436" w:rsidP="00357436">
      <w:pPr>
        <w:suppressAutoHyphens/>
        <w:rPr>
          <w:spacing w:val="-3"/>
        </w:rPr>
      </w:pPr>
    </w:p>
    <w:p w:rsidR="00357436" w:rsidRDefault="00357436" w:rsidP="00357436">
      <w:pPr>
        <w:pStyle w:val="Heading2"/>
        <w:jc w:val="left"/>
        <w:rPr>
          <w:b w:val="0"/>
          <w:szCs w:val="24"/>
        </w:rPr>
      </w:pPr>
      <w:r>
        <w:rPr>
          <w:b w:val="0"/>
          <w:szCs w:val="24"/>
        </w:rPr>
        <w:t>Review Questions</w:t>
      </w:r>
    </w:p>
    <w:p w:rsidR="00357436" w:rsidRDefault="00357436" w:rsidP="00357436">
      <w:pPr>
        <w:suppressAutoHyphens/>
        <w:ind w:left="1080"/>
      </w:pPr>
    </w:p>
    <w:p w:rsidR="00517BEC" w:rsidRPr="00517BEC" w:rsidRDefault="00517BEC" w:rsidP="00517BEC">
      <w:pPr>
        <w:autoSpaceDE w:val="0"/>
        <w:autoSpaceDN w:val="0"/>
        <w:adjustRightInd w:val="0"/>
      </w:pPr>
    </w:p>
    <w:p w:rsidR="0001331B" w:rsidRDefault="0001331B" w:rsidP="00517BEC"/>
    <w:sectPr w:rsidR="0001331B"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D6" w:rsidRDefault="004345D6">
      <w:r>
        <w:separator/>
      </w:r>
    </w:p>
  </w:endnote>
  <w:endnote w:type="continuationSeparator" w:id="0">
    <w:p w:rsidR="004345D6" w:rsidRDefault="0043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3F5ED6">
      <w:rPr>
        <w:rFonts w:ascii="Arial" w:hAnsi="Arial" w:cs="Arial"/>
        <w:sz w:val="20"/>
        <w:szCs w:val="20"/>
      </w:rPr>
      <w:t>8</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D6" w:rsidRDefault="004345D6">
      <w:r>
        <w:separator/>
      </w:r>
    </w:p>
  </w:footnote>
  <w:footnote w:type="continuationSeparator" w:id="0">
    <w:p w:rsidR="004345D6" w:rsidRDefault="00434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E6" w:rsidRDefault="009152E6" w:rsidP="009152E6">
    <w:pPr>
      <w:pStyle w:val="Header"/>
      <w:jc w:val="right"/>
    </w:pPr>
    <w:r w:rsidRPr="001532D6">
      <w:rPr>
        <w:rStyle w:val="PageNumber"/>
        <w:rFonts w:ascii="Arial" w:hAnsi="Arial" w:cs="Arial"/>
        <w:i/>
        <w:sz w:val="20"/>
      </w:rPr>
      <w:t>Fundamentals of Real Estate Appraisal</w:t>
    </w:r>
    <w:r>
      <w:rPr>
        <w:rStyle w:val="PageNumber"/>
        <w:rFonts w:ascii="Arial" w:hAnsi="Arial" w:cs="Arial"/>
        <w:i/>
        <w:sz w:val="20"/>
      </w:rPr>
      <w:t xml:space="preserve"> Thirteenth</w:t>
    </w:r>
    <w:r w:rsidRPr="001532D6">
      <w:rPr>
        <w:rStyle w:val="PageNumber"/>
        <w:rFonts w:ascii="Arial" w:hAnsi="Arial" w:cs="Arial"/>
        <w:i/>
        <w:sz w:val="20"/>
      </w:rPr>
      <w:t xml:space="preserve"> Edition</w:t>
    </w:r>
  </w:p>
  <w:p w:rsidR="0075160F" w:rsidRDefault="00751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A5E"/>
    <w:multiLevelType w:val="hybridMultilevel"/>
    <w:tmpl w:val="3CB0A3F4"/>
    <w:lvl w:ilvl="0" w:tplc="0592F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7EF"/>
    <w:multiLevelType w:val="hybridMultilevel"/>
    <w:tmpl w:val="19DA3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7EB3"/>
    <w:multiLevelType w:val="hybridMultilevel"/>
    <w:tmpl w:val="C9EABD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A76AA3"/>
    <w:multiLevelType w:val="hybridMultilevel"/>
    <w:tmpl w:val="65587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60A25"/>
    <w:multiLevelType w:val="hybridMultilevel"/>
    <w:tmpl w:val="9DB25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0B3F"/>
    <w:multiLevelType w:val="hybridMultilevel"/>
    <w:tmpl w:val="4F806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51C19"/>
    <w:multiLevelType w:val="hybridMultilevel"/>
    <w:tmpl w:val="618486B6"/>
    <w:lvl w:ilvl="0" w:tplc="49CED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11F2C"/>
    <w:multiLevelType w:val="hybridMultilevel"/>
    <w:tmpl w:val="2CE6C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AF1821"/>
    <w:multiLevelType w:val="hybridMultilevel"/>
    <w:tmpl w:val="A61E78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07386D"/>
    <w:multiLevelType w:val="hybridMultilevel"/>
    <w:tmpl w:val="B628A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D27ABD"/>
    <w:multiLevelType w:val="hybridMultilevel"/>
    <w:tmpl w:val="0A329E6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CE4709"/>
    <w:multiLevelType w:val="hybridMultilevel"/>
    <w:tmpl w:val="DA06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4062F"/>
    <w:multiLevelType w:val="hybridMultilevel"/>
    <w:tmpl w:val="DDA0D0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843535"/>
    <w:multiLevelType w:val="hybridMultilevel"/>
    <w:tmpl w:val="D40EC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1175C"/>
    <w:multiLevelType w:val="hybridMultilevel"/>
    <w:tmpl w:val="92929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264657C"/>
    <w:multiLevelType w:val="hybridMultilevel"/>
    <w:tmpl w:val="3A427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C16EB"/>
    <w:multiLevelType w:val="hybridMultilevel"/>
    <w:tmpl w:val="D2CEB4EA"/>
    <w:lvl w:ilvl="0" w:tplc="79B82D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81B1D"/>
    <w:multiLevelType w:val="hybridMultilevel"/>
    <w:tmpl w:val="F08CAD50"/>
    <w:lvl w:ilvl="0" w:tplc="532AE2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F69AC"/>
    <w:multiLevelType w:val="hybridMultilevel"/>
    <w:tmpl w:val="E642FDF2"/>
    <w:lvl w:ilvl="0" w:tplc="98B00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5328D"/>
    <w:multiLevelType w:val="hybridMultilevel"/>
    <w:tmpl w:val="1250F1F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A05896"/>
    <w:multiLevelType w:val="hybridMultilevel"/>
    <w:tmpl w:val="8F843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E69FC"/>
    <w:multiLevelType w:val="hybridMultilevel"/>
    <w:tmpl w:val="81B805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BA56DFC"/>
    <w:multiLevelType w:val="hybridMultilevel"/>
    <w:tmpl w:val="B4B280CA"/>
    <w:lvl w:ilvl="0" w:tplc="852C54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36987"/>
    <w:multiLevelType w:val="hybridMultilevel"/>
    <w:tmpl w:val="7AEACD8A"/>
    <w:lvl w:ilvl="0" w:tplc="7DF46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0283B"/>
    <w:multiLevelType w:val="hybridMultilevel"/>
    <w:tmpl w:val="475E7042"/>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F3928FC"/>
    <w:multiLevelType w:val="hybridMultilevel"/>
    <w:tmpl w:val="04B4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B4DE7"/>
    <w:multiLevelType w:val="hybridMultilevel"/>
    <w:tmpl w:val="D8BEA1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17A1D93"/>
    <w:multiLevelType w:val="hybridMultilevel"/>
    <w:tmpl w:val="7B62B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A45A6"/>
    <w:multiLevelType w:val="hybridMultilevel"/>
    <w:tmpl w:val="84C29F3E"/>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623663A"/>
    <w:multiLevelType w:val="hybridMultilevel"/>
    <w:tmpl w:val="135E6F94"/>
    <w:lvl w:ilvl="0" w:tplc="1994A94E">
      <w:start w:val="1"/>
      <w:numFmt w:val="bullet"/>
      <w:lvlText w:val="•"/>
      <w:lvlJc w:val="left"/>
      <w:pPr>
        <w:tabs>
          <w:tab w:val="num" w:pos="720"/>
        </w:tabs>
        <w:ind w:left="720" w:hanging="360"/>
      </w:pPr>
      <w:rPr>
        <w:rFonts w:ascii="Times New Roman" w:hAnsi="Times New Roman" w:hint="default"/>
      </w:rPr>
    </w:lvl>
    <w:lvl w:ilvl="1" w:tplc="9DB46F70">
      <w:start w:val="1605"/>
      <w:numFmt w:val="bullet"/>
      <w:lvlText w:val="–"/>
      <w:lvlJc w:val="left"/>
      <w:pPr>
        <w:tabs>
          <w:tab w:val="num" w:pos="1440"/>
        </w:tabs>
        <w:ind w:left="1440" w:hanging="360"/>
      </w:pPr>
      <w:rPr>
        <w:rFonts w:ascii="Times New Roman" w:hAnsi="Times New Roman" w:hint="default"/>
      </w:rPr>
    </w:lvl>
    <w:lvl w:ilvl="2" w:tplc="9688637A">
      <w:start w:val="1"/>
      <w:numFmt w:val="bullet"/>
      <w:lvlText w:val="•"/>
      <w:lvlJc w:val="left"/>
      <w:pPr>
        <w:tabs>
          <w:tab w:val="num" w:pos="2160"/>
        </w:tabs>
        <w:ind w:left="2160" w:hanging="360"/>
      </w:pPr>
      <w:rPr>
        <w:rFonts w:ascii="Times New Roman" w:hAnsi="Times New Roman" w:hint="default"/>
      </w:rPr>
    </w:lvl>
    <w:lvl w:ilvl="3" w:tplc="B4CA4948">
      <w:start w:val="1"/>
      <w:numFmt w:val="bullet"/>
      <w:lvlText w:val="•"/>
      <w:lvlJc w:val="left"/>
      <w:pPr>
        <w:tabs>
          <w:tab w:val="num" w:pos="2880"/>
        </w:tabs>
        <w:ind w:left="2880" w:hanging="360"/>
      </w:pPr>
      <w:rPr>
        <w:rFonts w:ascii="Times New Roman" w:hAnsi="Times New Roman" w:hint="default"/>
      </w:rPr>
    </w:lvl>
    <w:lvl w:ilvl="4" w:tplc="A69E6F8C" w:tentative="1">
      <w:start w:val="1"/>
      <w:numFmt w:val="bullet"/>
      <w:lvlText w:val="•"/>
      <w:lvlJc w:val="left"/>
      <w:pPr>
        <w:tabs>
          <w:tab w:val="num" w:pos="3600"/>
        </w:tabs>
        <w:ind w:left="3600" w:hanging="360"/>
      </w:pPr>
      <w:rPr>
        <w:rFonts w:ascii="Times New Roman" w:hAnsi="Times New Roman" w:hint="default"/>
      </w:rPr>
    </w:lvl>
    <w:lvl w:ilvl="5" w:tplc="BAF623B8" w:tentative="1">
      <w:start w:val="1"/>
      <w:numFmt w:val="bullet"/>
      <w:lvlText w:val="•"/>
      <w:lvlJc w:val="left"/>
      <w:pPr>
        <w:tabs>
          <w:tab w:val="num" w:pos="4320"/>
        </w:tabs>
        <w:ind w:left="4320" w:hanging="360"/>
      </w:pPr>
      <w:rPr>
        <w:rFonts w:ascii="Times New Roman" w:hAnsi="Times New Roman" w:hint="default"/>
      </w:rPr>
    </w:lvl>
    <w:lvl w:ilvl="6" w:tplc="CDDC25AA" w:tentative="1">
      <w:start w:val="1"/>
      <w:numFmt w:val="bullet"/>
      <w:lvlText w:val="•"/>
      <w:lvlJc w:val="left"/>
      <w:pPr>
        <w:tabs>
          <w:tab w:val="num" w:pos="5040"/>
        </w:tabs>
        <w:ind w:left="5040" w:hanging="360"/>
      </w:pPr>
      <w:rPr>
        <w:rFonts w:ascii="Times New Roman" w:hAnsi="Times New Roman" w:hint="default"/>
      </w:rPr>
    </w:lvl>
    <w:lvl w:ilvl="7" w:tplc="408495A2" w:tentative="1">
      <w:start w:val="1"/>
      <w:numFmt w:val="bullet"/>
      <w:lvlText w:val="•"/>
      <w:lvlJc w:val="left"/>
      <w:pPr>
        <w:tabs>
          <w:tab w:val="num" w:pos="5760"/>
        </w:tabs>
        <w:ind w:left="5760" w:hanging="360"/>
      </w:pPr>
      <w:rPr>
        <w:rFonts w:ascii="Times New Roman" w:hAnsi="Times New Roman" w:hint="default"/>
      </w:rPr>
    </w:lvl>
    <w:lvl w:ilvl="8" w:tplc="D08E7C4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6DB13BD"/>
    <w:multiLevelType w:val="hybridMultilevel"/>
    <w:tmpl w:val="F474CA5A"/>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BAE10B5"/>
    <w:multiLevelType w:val="hybridMultilevel"/>
    <w:tmpl w:val="2D242F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C3675AC"/>
    <w:multiLevelType w:val="hybridMultilevel"/>
    <w:tmpl w:val="1F4E3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5757F1"/>
    <w:multiLevelType w:val="hybridMultilevel"/>
    <w:tmpl w:val="F216C0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0341FB7"/>
    <w:multiLevelType w:val="hybridMultilevel"/>
    <w:tmpl w:val="471C6740"/>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1C12AA4"/>
    <w:multiLevelType w:val="hybridMultilevel"/>
    <w:tmpl w:val="FCC26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941D90"/>
    <w:multiLevelType w:val="hybridMultilevel"/>
    <w:tmpl w:val="92F65D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8F5786C"/>
    <w:multiLevelType w:val="hybridMultilevel"/>
    <w:tmpl w:val="E9F850AE"/>
    <w:lvl w:ilvl="0" w:tplc="01DED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F57DE"/>
    <w:multiLevelType w:val="hybridMultilevel"/>
    <w:tmpl w:val="699AA2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5CD2398A"/>
    <w:multiLevelType w:val="hybridMultilevel"/>
    <w:tmpl w:val="E4BED772"/>
    <w:lvl w:ilvl="0" w:tplc="929CD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162EC"/>
    <w:multiLevelType w:val="hybridMultilevel"/>
    <w:tmpl w:val="8B2A5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BC6E05"/>
    <w:multiLevelType w:val="hybridMultilevel"/>
    <w:tmpl w:val="43F0C604"/>
    <w:lvl w:ilvl="0" w:tplc="170EB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D05C88"/>
    <w:multiLevelType w:val="hybridMultilevel"/>
    <w:tmpl w:val="1C0654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6E1A272B"/>
    <w:multiLevelType w:val="hybridMultilevel"/>
    <w:tmpl w:val="A74692F8"/>
    <w:lvl w:ilvl="0" w:tplc="F934C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E0599"/>
    <w:multiLevelType w:val="hybridMultilevel"/>
    <w:tmpl w:val="E502040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4D31642"/>
    <w:multiLevelType w:val="hybridMultilevel"/>
    <w:tmpl w:val="46941F14"/>
    <w:lvl w:ilvl="0" w:tplc="5356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7E5365"/>
    <w:multiLevelType w:val="hybridMultilevel"/>
    <w:tmpl w:val="04BAC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E51BBE"/>
    <w:multiLevelType w:val="hybridMultilevel"/>
    <w:tmpl w:val="054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C0F52"/>
    <w:multiLevelType w:val="hybridMultilevel"/>
    <w:tmpl w:val="E266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2368A7"/>
    <w:multiLevelType w:val="hybridMultilevel"/>
    <w:tmpl w:val="5270EFAC"/>
    <w:lvl w:ilvl="0" w:tplc="7A0EF3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8"/>
  </w:num>
  <w:num w:numId="3">
    <w:abstractNumId w:val="49"/>
  </w:num>
  <w:num w:numId="4">
    <w:abstractNumId w:val="15"/>
  </w:num>
  <w:num w:numId="5">
    <w:abstractNumId w:val="27"/>
  </w:num>
  <w:num w:numId="6">
    <w:abstractNumId w:val="17"/>
  </w:num>
  <w:num w:numId="7">
    <w:abstractNumId w:val="4"/>
  </w:num>
  <w:num w:numId="8">
    <w:abstractNumId w:val="23"/>
  </w:num>
  <w:num w:numId="9">
    <w:abstractNumId w:val="5"/>
  </w:num>
  <w:num w:numId="10">
    <w:abstractNumId w:val="37"/>
  </w:num>
  <w:num w:numId="11">
    <w:abstractNumId w:val="25"/>
  </w:num>
  <w:num w:numId="12">
    <w:abstractNumId w:val="6"/>
  </w:num>
  <w:num w:numId="13">
    <w:abstractNumId w:val="46"/>
  </w:num>
  <w:num w:numId="14">
    <w:abstractNumId w:val="18"/>
  </w:num>
  <w:num w:numId="15">
    <w:abstractNumId w:val="35"/>
  </w:num>
  <w:num w:numId="16">
    <w:abstractNumId w:val="22"/>
  </w:num>
  <w:num w:numId="17">
    <w:abstractNumId w:val="40"/>
  </w:num>
  <w:num w:numId="18">
    <w:abstractNumId w:val="39"/>
  </w:num>
  <w:num w:numId="19">
    <w:abstractNumId w:val="3"/>
  </w:num>
  <w:num w:numId="20">
    <w:abstractNumId w:val="16"/>
  </w:num>
  <w:num w:numId="21">
    <w:abstractNumId w:val="20"/>
  </w:num>
  <w:num w:numId="22">
    <w:abstractNumId w:val="41"/>
  </w:num>
  <w:num w:numId="23">
    <w:abstractNumId w:val="1"/>
  </w:num>
  <w:num w:numId="24">
    <w:abstractNumId w:val="0"/>
  </w:num>
  <w:num w:numId="25">
    <w:abstractNumId w:val="32"/>
  </w:num>
  <w:num w:numId="26">
    <w:abstractNumId w:val="45"/>
  </w:num>
  <w:num w:numId="27">
    <w:abstractNumId w:val="13"/>
  </w:num>
  <w:num w:numId="28">
    <w:abstractNumId w:val="43"/>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1"/>
  </w:num>
  <w:num w:numId="48">
    <w:abstractNumId w:val="47"/>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519C"/>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6D79"/>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9604B"/>
    <w:rsid w:val="001A1D65"/>
    <w:rsid w:val="001B1667"/>
    <w:rsid w:val="001B35A8"/>
    <w:rsid w:val="001C3851"/>
    <w:rsid w:val="001D0E83"/>
    <w:rsid w:val="001D2617"/>
    <w:rsid w:val="001D3B45"/>
    <w:rsid w:val="001D4001"/>
    <w:rsid w:val="001D65F9"/>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57436"/>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5ED6"/>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350"/>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17BEC"/>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0B4"/>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60B"/>
    <w:rsid w:val="00672957"/>
    <w:rsid w:val="0067534B"/>
    <w:rsid w:val="00675907"/>
    <w:rsid w:val="0067743E"/>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6F55"/>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206E"/>
    <w:rsid w:val="007A193B"/>
    <w:rsid w:val="007A3056"/>
    <w:rsid w:val="007B14D3"/>
    <w:rsid w:val="007B39E1"/>
    <w:rsid w:val="007B3A0F"/>
    <w:rsid w:val="007B3BCF"/>
    <w:rsid w:val="007B560B"/>
    <w:rsid w:val="007B5C04"/>
    <w:rsid w:val="007B5EAA"/>
    <w:rsid w:val="007C318C"/>
    <w:rsid w:val="007C37BE"/>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0FFE"/>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52E6"/>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6556"/>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0E87"/>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1AA1"/>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5B0A"/>
    <w:rsid w:val="00D25C2E"/>
    <w:rsid w:val="00D27BA6"/>
    <w:rsid w:val="00D306FF"/>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1F6A"/>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2FEF"/>
    <w:rsid w:val="00F2403F"/>
    <w:rsid w:val="00F243A1"/>
    <w:rsid w:val="00F24A0A"/>
    <w:rsid w:val="00F24C17"/>
    <w:rsid w:val="00F24D91"/>
    <w:rsid w:val="00F271A4"/>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779A"/>
    <w:rsid w:val="00FA04E9"/>
    <w:rsid w:val="00FA1EDE"/>
    <w:rsid w:val="00FA4A58"/>
    <w:rsid w:val="00FB124B"/>
    <w:rsid w:val="00FB2A4C"/>
    <w:rsid w:val="00FB4C68"/>
    <w:rsid w:val="00FB65FE"/>
    <w:rsid w:val="00FB6CCE"/>
    <w:rsid w:val="00FB6DC7"/>
    <w:rsid w:val="00FB79AD"/>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C43D369D-EB70-4819-B09F-6EAC7F28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paragraph" w:styleId="Heading2">
    <w:name w:val="heading 2"/>
    <w:basedOn w:val="Normal"/>
    <w:next w:val="Normal"/>
    <w:link w:val="Heading2Char"/>
    <w:uiPriority w:val="9"/>
    <w:qFormat/>
    <w:rsid w:val="00357436"/>
    <w:pPr>
      <w:keepNext/>
      <w:widowControl w:val="0"/>
      <w:suppressAutoHyphens/>
      <w:snapToGrid w:val="0"/>
      <w:jc w:val="center"/>
      <w:outlineLvl w:val="1"/>
    </w:pPr>
    <w:rPr>
      <w:b/>
      <w:spacing w:val="-3"/>
      <w:szCs w:val="20"/>
    </w:rPr>
  </w:style>
  <w:style w:type="paragraph" w:styleId="Heading3">
    <w:name w:val="heading 3"/>
    <w:basedOn w:val="Normal"/>
    <w:next w:val="Normal"/>
    <w:link w:val="Heading3Char"/>
    <w:semiHidden/>
    <w:unhideWhenUsed/>
    <w:qFormat/>
    <w:rsid w:val="003574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uiPriority w:val="99"/>
    <w:rsid w:val="008760C5"/>
  </w:style>
  <w:style w:type="paragraph" w:styleId="ListParagraph">
    <w:name w:val="List Paragraph"/>
    <w:basedOn w:val="Normal"/>
    <w:uiPriority w:val="34"/>
    <w:qFormat/>
    <w:rsid w:val="0067260B"/>
    <w:pPr>
      <w:ind w:left="720"/>
      <w:contextualSpacing/>
    </w:pPr>
  </w:style>
  <w:style w:type="character" w:customStyle="1" w:styleId="HeaderChar">
    <w:name w:val="Header Char"/>
    <w:basedOn w:val="DefaultParagraphFont"/>
    <w:link w:val="Header"/>
    <w:uiPriority w:val="99"/>
    <w:rsid w:val="009152E6"/>
    <w:rPr>
      <w:sz w:val="24"/>
      <w:szCs w:val="24"/>
    </w:rPr>
  </w:style>
  <w:style w:type="character" w:customStyle="1" w:styleId="Heading2Char">
    <w:name w:val="Heading 2 Char"/>
    <w:basedOn w:val="DefaultParagraphFont"/>
    <w:link w:val="Heading2"/>
    <w:uiPriority w:val="9"/>
    <w:rsid w:val="00357436"/>
    <w:rPr>
      <w:b/>
      <w:spacing w:val="-3"/>
      <w:sz w:val="24"/>
    </w:rPr>
  </w:style>
  <w:style w:type="character" w:customStyle="1" w:styleId="Heading3Char">
    <w:name w:val="Heading 3 Char"/>
    <w:basedOn w:val="DefaultParagraphFont"/>
    <w:link w:val="Heading3"/>
    <w:semiHidden/>
    <w:rsid w:val="00357436"/>
    <w:rPr>
      <w:rFonts w:asciiTheme="majorHAnsi" w:eastAsiaTheme="majorEastAsia" w:hAnsiTheme="majorHAnsi" w:cstheme="majorBidi"/>
      <w:b/>
      <w:bCs/>
      <w:color w:val="4F81BD" w:themeColor="accent1"/>
      <w:sz w:val="24"/>
      <w:szCs w:val="24"/>
    </w:rPr>
  </w:style>
  <w:style w:type="paragraph" w:styleId="TOC6">
    <w:name w:val="toc 6"/>
    <w:basedOn w:val="Normal"/>
    <w:next w:val="Normal"/>
    <w:autoRedefine/>
    <w:uiPriority w:val="39"/>
    <w:rsid w:val="00357436"/>
    <w:pPr>
      <w:widowControl w:val="0"/>
      <w:suppressAutoHyphens/>
      <w:snapToGrid w:val="0"/>
      <w:ind w:left="360" w:hanging="360"/>
    </w:pPr>
    <w:rPr>
      <w:spacing w:val="-3"/>
      <w:szCs w:val="20"/>
    </w:rPr>
  </w:style>
  <w:style w:type="paragraph" w:styleId="BodyTextIndent">
    <w:name w:val="Body Text Indent"/>
    <w:basedOn w:val="Normal"/>
    <w:link w:val="BodyTextIndentChar"/>
    <w:uiPriority w:val="99"/>
    <w:rsid w:val="00357436"/>
    <w:pPr>
      <w:widowControl w:val="0"/>
      <w:tabs>
        <w:tab w:val="left" w:pos="-720"/>
        <w:tab w:val="left" w:pos="0"/>
      </w:tabs>
      <w:suppressAutoHyphens/>
      <w:snapToGrid w:val="0"/>
      <w:ind w:left="720" w:hanging="720"/>
    </w:pPr>
    <w:rPr>
      <w:spacing w:val="-3"/>
      <w:szCs w:val="20"/>
    </w:rPr>
  </w:style>
  <w:style w:type="character" w:customStyle="1" w:styleId="BodyTextIndentChar">
    <w:name w:val="Body Text Indent Char"/>
    <w:basedOn w:val="DefaultParagraphFont"/>
    <w:link w:val="BodyTextIndent"/>
    <w:uiPriority w:val="99"/>
    <w:rsid w:val="00357436"/>
    <w:rPr>
      <w:spacing w:val="-3"/>
      <w:sz w:val="24"/>
    </w:rPr>
  </w:style>
  <w:style w:type="paragraph" w:styleId="BodyTextIndent2">
    <w:name w:val="Body Text Indent 2"/>
    <w:basedOn w:val="Normal"/>
    <w:link w:val="BodyTextIndent2Char"/>
    <w:uiPriority w:val="99"/>
    <w:rsid w:val="00357436"/>
    <w:pPr>
      <w:widowControl w:val="0"/>
      <w:suppressAutoHyphens/>
      <w:snapToGrid w:val="0"/>
      <w:ind w:left="1440" w:hanging="720"/>
    </w:pPr>
    <w:rPr>
      <w:spacing w:val="-3"/>
      <w:szCs w:val="20"/>
    </w:rPr>
  </w:style>
  <w:style w:type="character" w:customStyle="1" w:styleId="BodyTextIndent2Char">
    <w:name w:val="Body Text Indent 2 Char"/>
    <w:basedOn w:val="DefaultParagraphFont"/>
    <w:link w:val="BodyTextIndent2"/>
    <w:uiPriority w:val="99"/>
    <w:rsid w:val="00357436"/>
    <w:rPr>
      <w:spacing w:val="-3"/>
      <w:sz w:val="24"/>
    </w:rPr>
  </w:style>
  <w:style w:type="paragraph" w:styleId="BodyTextIndent3">
    <w:name w:val="Body Text Indent 3"/>
    <w:basedOn w:val="Normal"/>
    <w:link w:val="BodyTextIndent3Char"/>
    <w:unhideWhenUsed/>
    <w:rsid w:val="00357436"/>
    <w:pPr>
      <w:spacing w:after="120"/>
      <w:ind w:left="360"/>
    </w:pPr>
    <w:rPr>
      <w:sz w:val="16"/>
      <w:szCs w:val="16"/>
    </w:rPr>
  </w:style>
  <w:style w:type="character" w:customStyle="1" w:styleId="BodyTextIndent3Char">
    <w:name w:val="Body Text Indent 3 Char"/>
    <w:basedOn w:val="DefaultParagraphFont"/>
    <w:link w:val="BodyTextIndent3"/>
    <w:rsid w:val="003574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Jeffrey Kish</cp:lastModifiedBy>
  <cp:revision>3</cp:revision>
  <dcterms:created xsi:type="dcterms:W3CDTF">2018-05-10T21:47:00Z</dcterms:created>
  <dcterms:modified xsi:type="dcterms:W3CDTF">2018-05-11T15:16:00Z</dcterms:modified>
</cp:coreProperties>
</file>